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B52EB" w14:textId="77777777" w:rsidR="009D6AEF" w:rsidRDefault="009D6AEF" w:rsidP="0068771C">
      <w:pPr>
        <w:jc w:val="center"/>
        <w:rPr>
          <w:b/>
        </w:rPr>
      </w:pPr>
    </w:p>
    <w:p w14:paraId="01E83468" w14:textId="77777777" w:rsidR="002F675D" w:rsidRDefault="002F675D" w:rsidP="0068771C">
      <w:pPr>
        <w:jc w:val="center"/>
        <w:rPr>
          <w:b/>
        </w:rPr>
      </w:pPr>
    </w:p>
    <w:p w14:paraId="5E277AED" w14:textId="77777777" w:rsidR="001D1102" w:rsidRDefault="001D1102" w:rsidP="0068771C">
      <w:pPr>
        <w:jc w:val="center"/>
        <w:rPr>
          <w:b/>
        </w:rPr>
      </w:pPr>
    </w:p>
    <w:p w14:paraId="5B18C70E" w14:textId="77777777" w:rsidR="009D6AEF" w:rsidRPr="00C5075D" w:rsidRDefault="009D6AEF" w:rsidP="0068771C">
      <w:pPr>
        <w:jc w:val="center"/>
        <w:rPr>
          <w:rFonts w:asciiTheme="minorHAnsi" w:hAnsiTheme="minorHAnsi"/>
          <w:b/>
        </w:rPr>
      </w:pPr>
    </w:p>
    <w:p w14:paraId="7C288CD6" w14:textId="2C3E7AF9" w:rsidR="00234D89" w:rsidRPr="00C5075D" w:rsidRDefault="0068771C" w:rsidP="0068771C">
      <w:pPr>
        <w:jc w:val="center"/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>BILJEŠKE UZ FINANCIJSKE IZVJEŠTAJE</w:t>
      </w:r>
    </w:p>
    <w:p w14:paraId="71AA45A3" w14:textId="77777777" w:rsidR="0068771C" w:rsidRPr="00C5075D" w:rsidRDefault="0068771C" w:rsidP="0068771C">
      <w:pPr>
        <w:jc w:val="center"/>
        <w:rPr>
          <w:rFonts w:asciiTheme="minorHAnsi" w:hAnsiTheme="minorHAnsi"/>
        </w:rPr>
      </w:pPr>
    </w:p>
    <w:p w14:paraId="330D8EC8" w14:textId="77777777" w:rsidR="009D6AEF" w:rsidRPr="00C5075D" w:rsidRDefault="009D6AEF" w:rsidP="0068771C">
      <w:pPr>
        <w:jc w:val="center"/>
        <w:rPr>
          <w:rFonts w:asciiTheme="minorHAnsi" w:hAnsiTheme="minorHAnsi"/>
        </w:rPr>
      </w:pPr>
    </w:p>
    <w:p w14:paraId="74006690" w14:textId="77777777" w:rsidR="0068771C" w:rsidRPr="00C5075D" w:rsidRDefault="0068771C" w:rsidP="0068771C">
      <w:pPr>
        <w:jc w:val="center"/>
        <w:rPr>
          <w:rFonts w:asciiTheme="minorHAnsi" w:hAnsiTheme="minorHAnsi"/>
        </w:rPr>
      </w:pPr>
    </w:p>
    <w:p w14:paraId="4E6BA6C9" w14:textId="4B7084C1" w:rsidR="0068771C" w:rsidRPr="00C5075D" w:rsidRDefault="0068771C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Naziv obveznika:</w:t>
      </w:r>
      <w:r w:rsidRPr="00C5075D">
        <w:rPr>
          <w:rFonts w:asciiTheme="minorHAnsi" w:hAnsiTheme="minorHAnsi"/>
        </w:rPr>
        <w:t xml:space="preserve"> NEUROPSIHIJATRIJSKA BOLNICA DR. IVAN BARBOT POPOVAČA</w:t>
      </w:r>
    </w:p>
    <w:p w14:paraId="12EA4C42" w14:textId="77777777" w:rsidR="0068771C" w:rsidRPr="00C5075D" w:rsidRDefault="0068771C" w:rsidP="008A554D">
      <w:pPr>
        <w:jc w:val="both"/>
        <w:rPr>
          <w:rFonts w:asciiTheme="minorHAnsi" w:hAnsiTheme="minorHAnsi"/>
        </w:rPr>
      </w:pPr>
    </w:p>
    <w:p w14:paraId="540863BC" w14:textId="36A1C544" w:rsidR="0068771C" w:rsidRDefault="0068771C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Adresa:</w:t>
      </w:r>
      <w:r w:rsidRPr="00C5075D">
        <w:rPr>
          <w:rFonts w:asciiTheme="minorHAnsi" w:hAnsiTheme="minorHAnsi"/>
        </w:rPr>
        <w:t xml:space="preserve"> JELENGRADSKA 1, 44317 POPOVAČA</w:t>
      </w:r>
    </w:p>
    <w:p w14:paraId="2B70ECEB" w14:textId="77777777" w:rsidR="00FD588D" w:rsidRPr="00C5075D" w:rsidRDefault="00FD588D" w:rsidP="008A554D">
      <w:pPr>
        <w:jc w:val="both"/>
        <w:rPr>
          <w:rFonts w:asciiTheme="minorHAnsi" w:hAnsiTheme="minorHAnsi"/>
        </w:rPr>
      </w:pPr>
    </w:p>
    <w:p w14:paraId="46F66305" w14:textId="77777777" w:rsidR="00FD588D" w:rsidRDefault="00FD588D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Broj RKP:</w:t>
      </w:r>
      <w:r w:rsidRPr="00C5075D">
        <w:rPr>
          <w:rFonts w:asciiTheme="minorHAnsi" w:hAnsiTheme="minorHAnsi"/>
        </w:rPr>
        <w:t xml:space="preserve"> 29236</w:t>
      </w:r>
    </w:p>
    <w:p w14:paraId="12C6B8EB" w14:textId="77777777" w:rsidR="00FD588D" w:rsidRPr="00C5075D" w:rsidRDefault="00FD588D" w:rsidP="008A554D">
      <w:pPr>
        <w:jc w:val="both"/>
        <w:rPr>
          <w:rFonts w:asciiTheme="minorHAnsi" w:hAnsiTheme="minorHAnsi"/>
        </w:rPr>
      </w:pPr>
    </w:p>
    <w:p w14:paraId="3FF99C27" w14:textId="77777777" w:rsidR="00FD588D" w:rsidRPr="00C5075D" w:rsidRDefault="00FD588D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Matični broj:</w:t>
      </w:r>
      <w:r w:rsidRPr="00C5075D">
        <w:rPr>
          <w:rFonts w:asciiTheme="minorHAnsi" w:hAnsiTheme="minorHAnsi"/>
        </w:rPr>
        <w:t xml:space="preserve"> 03319105</w:t>
      </w:r>
    </w:p>
    <w:p w14:paraId="65E86D84" w14:textId="77777777" w:rsidR="00FD588D" w:rsidRPr="00C5075D" w:rsidRDefault="00FD588D" w:rsidP="008A554D">
      <w:pPr>
        <w:jc w:val="both"/>
        <w:rPr>
          <w:rFonts w:asciiTheme="minorHAnsi" w:hAnsiTheme="minorHAnsi"/>
        </w:rPr>
      </w:pPr>
    </w:p>
    <w:p w14:paraId="20BE49A1" w14:textId="77777777" w:rsidR="00FD588D" w:rsidRDefault="00FD588D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 xml:space="preserve">OIB: </w:t>
      </w:r>
      <w:r w:rsidRPr="00C5075D">
        <w:rPr>
          <w:rFonts w:asciiTheme="minorHAnsi" w:hAnsiTheme="minorHAnsi"/>
        </w:rPr>
        <w:t>76024026802</w:t>
      </w:r>
    </w:p>
    <w:p w14:paraId="6CB0CDEF" w14:textId="77777777" w:rsidR="00FD588D" w:rsidRPr="00C5075D" w:rsidRDefault="00FD588D" w:rsidP="008A554D">
      <w:pPr>
        <w:jc w:val="both"/>
        <w:rPr>
          <w:rFonts w:asciiTheme="minorHAnsi" w:hAnsiTheme="minorHAnsi"/>
        </w:rPr>
      </w:pPr>
    </w:p>
    <w:p w14:paraId="6FAF54A6" w14:textId="77777777" w:rsidR="00FD588D" w:rsidRPr="00C5075D" w:rsidRDefault="00FD588D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Razina:</w:t>
      </w:r>
      <w:r w:rsidRPr="00C5075D">
        <w:rPr>
          <w:rFonts w:asciiTheme="minorHAnsi" w:hAnsiTheme="minorHAnsi"/>
        </w:rPr>
        <w:t xml:space="preserve"> 31</w:t>
      </w:r>
    </w:p>
    <w:p w14:paraId="344F63D5" w14:textId="77777777" w:rsidR="00FD588D" w:rsidRPr="00C5075D" w:rsidRDefault="00FD588D" w:rsidP="008A554D">
      <w:pPr>
        <w:jc w:val="both"/>
        <w:rPr>
          <w:rFonts w:asciiTheme="minorHAnsi" w:hAnsiTheme="minorHAnsi"/>
        </w:rPr>
      </w:pPr>
    </w:p>
    <w:p w14:paraId="64B5C236" w14:textId="77777777" w:rsidR="00FD588D" w:rsidRPr="00C5075D" w:rsidRDefault="00FD588D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Razdjel:</w:t>
      </w:r>
      <w:r w:rsidRPr="00C5075D">
        <w:rPr>
          <w:rFonts w:asciiTheme="minorHAnsi" w:hAnsiTheme="minorHAnsi"/>
        </w:rPr>
        <w:t xml:space="preserve"> 000</w:t>
      </w:r>
    </w:p>
    <w:p w14:paraId="2BE877AC" w14:textId="77777777" w:rsidR="00FD588D" w:rsidRPr="00C5075D" w:rsidRDefault="00FD588D" w:rsidP="008A554D">
      <w:pPr>
        <w:jc w:val="both"/>
        <w:rPr>
          <w:rFonts w:asciiTheme="minorHAnsi" w:hAnsiTheme="minorHAnsi"/>
        </w:rPr>
      </w:pPr>
    </w:p>
    <w:p w14:paraId="1043C419" w14:textId="77777777" w:rsidR="00FD588D" w:rsidRPr="00C5075D" w:rsidRDefault="00FD588D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Šifra djelatnosti:</w:t>
      </w:r>
      <w:r w:rsidRPr="00C5075D">
        <w:rPr>
          <w:rFonts w:asciiTheme="minorHAnsi" w:hAnsiTheme="minorHAnsi"/>
        </w:rPr>
        <w:t xml:space="preserve"> 8610</w:t>
      </w:r>
    </w:p>
    <w:p w14:paraId="60E70C7F" w14:textId="77777777" w:rsidR="0068771C" w:rsidRPr="00C5075D" w:rsidRDefault="0068771C" w:rsidP="008A554D">
      <w:pPr>
        <w:jc w:val="both"/>
        <w:rPr>
          <w:rFonts w:asciiTheme="minorHAnsi" w:hAnsiTheme="minorHAnsi"/>
        </w:rPr>
      </w:pPr>
    </w:p>
    <w:p w14:paraId="4E93EFF1" w14:textId="7719A3C8" w:rsidR="0068771C" w:rsidRPr="00C5075D" w:rsidRDefault="0068771C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Šifra županije:</w:t>
      </w:r>
      <w:r w:rsidRPr="00C5075D">
        <w:rPr>
          <w:rFonts w:asciiTheme="minorHAnsi" w:hAnsiTheme="minorHAnsi"/>
        </w:rPr>
        <w:t xml:space="preserve"> 347</w:t>
      </w:r>
    </w:p>
    <w:p w14:paraId="1C68BEDA" w14:textId="77777777" w:rsidR="0068771C" w:rsidRPr="00C5075D" w:rsidRDefault="0068771C" w:rsidP="008A554D">
      <w:pPr>
        <w:jc w:val="both"/>
        <w:rPr>
          <w:rFonts w:asciiTheme="minorHAnsi" w:hAnsiTheme="minorHAnsi"/>
        </w:rPr>
      </w:pPr>
    </w:p>
    <w:p w14:paraId="1A14ACAE" w14:textId="178AAA2E" w:rsidR="0068771C" w:rsidRPr="00C5075D" w:rsidRDefault="0068771C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Izvještajno razdoblje:</w:t>
      </w:r>
      <w:r w:rsidRPr="00C5075D">
        <w:rPr>
          <w:rFonts w:asciiTheme="minorHAnsi" w:hAnsiTheme="minorHAnsi"/>
        </w:rPr>
        <w:t xml:space="preserve"> 1. siječanj 201</w:t>
      </w:r>
      <w:r w:rsidR="00B1418C">
        <w:rPr>
          <w:rFonts w:asciiTheme="minorHAnsi" w:hAnsiTheme="minorHAnsi"/>
        </w:rPr>
        <w:t>9</w:t>
      </w:r>
      <w:r w:rsidRPr="00C5075D">
        <w:rPr>
          <w:rFonts w:asciiTheme="minorHAnsi" w:hAnsiTheme="minorHAnsi"/>
        </w:rPr>
        <w:t>.godine -</w:t>
      </w:r>
      <w:r w:rsidR="00087416" w:rsidRPr="00C5075D">
        <w:rPr>
          <w:rFonts w:asciiTheme="minorHAnsi" w:hAnsiTheme="minorHAnsi"/>
        </w:rPr>
        <w:t xml:space="preserve"> </w:t>
      </w:r>
      <w:r w:rsidRPr="00C5075D">
        <w:rPr>
          <w:rFonts w:asciiTheme="minorHAnsi" w:hAnsiTheme="minorHAnsi"/>
        </w:rPr>
        <w:t>31.prosin</w:t>
      </w:r>
      <w:r w:rsidR="00F37B0D">
        <w:rPr>
          <w:rFonts w:asciiTheme="minorHAnsi" w:hAnsiTheme="minorHAnsi"/>
        </w:rPr>
        <w:t>ca</w:t>
      </w:r>
      <w:r w:rsidRPr="00C5075D">
        <w:rPr>
          <w:rFonts w:asciiTheme="minorHAnsi" w:hAnsiTheme="minorHAnsi"/>
        </w:rPr>
        <w:t xml:space="preserve"> 201</w:t>
      </w:r>
      <w:r w:rsidR="00B1418C">
        <w:rPr>
          <w:rFonts w:asciiTheme="minorHAnsi" w:hAnsiTheme="minorHAnsi"/>
        </w:rPr>
        <w:t>9</w:t>
      </w:r>
      <w:r w:rsidRPr="00C5075D">
        <w:rPr>
          <w:rFonts w:asciiTheme="minorHAnsi" w:hAnsiTheme="minorHAnsi"/>
        </w:rPr>
        <w:t>.godine</w:t>
      </w:r>
    </w:p>
    <w:p w14:paraId="3747407B" w14:textId="77777777" w:rsidR="0068771C" w:rsidRPr="00C5075D" w:rsidRDefault="0068771C" w:rsidP="008A554D">
      <w:pPr>
        <w:jc w:val="both"/>
        <w:rPr>
          <w:rFonts w:asciiTheme="minorHAnsi" w:hAnsiTheme="minorHAnsi"/>
        </w:rPr>
      </w:pPr>
    </w:p>
    <w:p w14:paraId="4381854D" w14:textId="77777777" w:rsidR="0068771C" w:rsidRPr="00C5075D" w:rsidRDefault="0068771C" w:rsidP="008A554D">
      <w:pPr>
        <w:jc w:val="both"/>
        <w:rPr>
          <w:rFonts w:asciiTheme="minorHAnsi" w:hAnsiTheme="minorHAnsi"/>
        </w:rPr>
      </w:pPr>
    </w:p>
    <w:p w14:paraId="5AE3B3E9" w14:textId="77777777" w:rsidR="0068771C" w:rsidRPr="00C5075D" w:rsidRDefault="0068771C" w:rsidP="0068771C">
      <w:pPr>
        <w:rPr>
          <w:rFonts w:asciiTheme="minorHAnsi" w:hAnsiTheme="minorHAnsi"/>
        </w:rPr>
      </w:pPr>
    </w:p>
    <w:p w14:paraId="6C79E2C9" w14:textId="77777777" w:rsidR="0068771C" w:rsidRPr="00C5075D" w:rsidRDefault="0068771C" w:rsidP="0068771C">
      <w:pPr>
        <w:rPr>
          <w:rFonts w:asciiTheme="minorHAnsi" w:hAnsiTheme="minorHAnsi"/>
        </w:rPr>
      </w:pPr>
    </w:p>
    <w:p w14:paraId="1AFE1D80" w14:textId="77777777" w:rsidR="0068771C" w:rsidRPr="00C5075D" w:rsidRDefault="0068771C" w:rsidP="0068771C">
      <w:pPr>
        <w:rPr>
          <w:rFonts w:asciiTheme="minorHAnsi" w:hAnsiTheme="minorHAnsi"/>
        </w:rPr>
      </w:pPr>
    </w:p>
    <w:p w14:paraId="21BE814E" w14:textId="77777777" w:rsidR="0068771C" w:rsidRPr="00C5075D" w:rsidRDefault="0068771C" w:rsidP="0068771C">
      <w:pPr>
        <w:rPr>
          <w:rFonts w:asciiTheme="minorHAnsi" w:hAnsiTheme="minorHAnsi"/>
        </w:rPr>
      </w:pPr>
    </w:p>
    <w:p w14:paraId="247363F4" w14:textId="77777777" w:rsidR="0068771C" w:rsidRPr="00C5075D" w:rsidRDefault="0068771C" w:rsidP="0068771C">
      <w:pPr>
        <w:rPr>
          <w:rFonts w:asciiTheme="minorHAnsi" w:hAnsiTheme="minorHAnsi"/>
        </w:rPr>
      </w:pPr>
    </w:p>
    <w:p w14:paraId="79CE6094" w14:textId="77777777" w:rsidR="0068771C" w:rsidRPr="00C5075D" w:rsidRDefault="0068771C" w:rsidP="0068771C">
      <w:pPr>
        <w:rPr>
          <w:rFonts w:asciiTheme="minorHAnsi" w:hAnsiTheme="minorHAnsi"/>
        </w:rPr>
      </w:pPr>
    </w:p>
    <w:p w14:paraId="7D5BFEE7" w14:textId="77777777" w:rsidR="0068771C" w:rsidRPr="00C5075D" w:rsidRDefault="0068771C" w:rsidP="0068771C">
      <w:pPr>
        <w:rPr>
          <w:rFonts w:asciiTheme="minorHAnsi" w:hAnsiTheme="minorHAnsi"/>
        </w:rPr>
      </w:pPr>
    </w:p>
    <w:p w14:paraId="4D4EEEE9" w14:textId="77777777" w:rsidR="0068771C" w:rsidRPr="00C5075D" w:rsidRDefault="0068771C" w:rsidP="0068771C">
      <w:pPr>
        <w:rPr>
          <w:rFonts w:asciiTheme="minorHAnsi" w:hAnsiTheme="minorHAnsi"/>
        </w:rPr>
      </w:pPr>
    </w:p>
    <w:p w14:paraId="68303862" w14:textId="77777777" w:rsidR="0068771C" w:rsidRPr="00C5075D" w:rsidRDefault="0068771C" w:rsidP="0068771C">
      <w:pPr>
        <w:rPr>
          <w:rFonts w:asciiTheme="minorHAnsi" w:hAnsiTheme="minorHAnsi"/>
        </w:rPr>
      </w:pPr>
    </w:p>
    <w:p w14:paraId="1CEFFC58" w14:textId="77777777" w:rsidR="0068771C" w:rsidRPr="00C5075D" w:rsidRDefault="0068771C" w:rsidP="0068771C">
      <w:pPr>
        <w:rPr>
          <w:rFonts w:asciiTheme="minorHAnsi" w:hAnsiTheme="minorHAnsi"/>
        </w:rPr>
      </w:pPr>
    </w:p>
    <w:p w14:paraId="3DB06F4C" w14:textId="77777777" w:rsidR="0068771C" w:rsidRPr="00C5075D" w:rsidRDefault="0068771C" w:rsidP="0068771C">
      <w:pPr>
        <w:rPr>
          <w:rFonts w:asciiTheme="minorHAnsi" w:hAnsiTheme="minorHAnsi"/>
        </w:rPr>
      </w:pPr>
    </w:p>
    <w:p w14:paraId="34AA7A58" w14:textId="77777777" w:rsidR="0068771C" w:rsidRPr="00C5075D" w:rsidRDefault="0068771C" w:rsidP="0068771C">
      <w:pPr>
        <w:rPr>
          <w:rFonts w:asciiTheme="minorHAnsi" w:hAnsiTheme="minorHAnsi"/>
        </w:rPr>
      </w:pPr>
    </w:p>
    <w:p w14:paraId="0B24639B" w14:textId="77777777" w:rsidR="0068771C" w:rsidRPr="00C5075D" w:rsidRDefault="0068771C" w:rsidP="0068771C">
      <w:pPr>
        <w:rPr>
          <w:rFonts w:asciiTheme="minorHAnsi" w:hAnsiTheme="minorHAnsi"/>
        </w:rPr>
      </w:pPr>
    </w:p>
    <w:p w14:paraId="0E0DD86D" w14:textId="77777777" w:rsidR="0068771C" w:rsidRPr="00C5075D" w:rsidRDefault="0068771C" w:rsidP="0068771C">
      <w:pPr>
        <w:rPr>
          <w:rFonts w:asciiTheme="minorHAnsi" w:hAnsiTheme="minorHAnsi"/>
        </w:rPr>
      </w:pPr>
    </w:p>
    <w:p w14:paraId="44347A08" w14:textId="77777777" w:rsidR="0068771C" w:rsidRPr="00C5075D" w:rsidRDefault="0068771C" w:rsidP="0068771C">
      <w:pPr>
        <w:rPr>
          <w:rFonts w:asciiTheme="minorHAnsi" w:hAnsiTheme="minorHAnsi"/>
        </w:rPr>
      </w:pPr>
    </w:p>
    <w:p w14:paraId="2C3A53BB" w14:textId="77777777" w:rsidR="0068771C" w:rsidRPr="00C5075D" w:rsidRDefault="0068771C" w:rsidP="0068771C">
      <w:pPr>
        <w:rPr>
          <w:rFonts w:asciiTheme="minorHAnsi" w:hAnsiTheme="minorHAnsi"/>
        </w:rPr>
      </w:pPr>
    </w:p>
    <w:p w14:paraId="54AB0A12" w14:textId="77777777" w:rsidR="0068771C" w:rsidRPr="00C5075D" w:rsidRDefault="0068771C" w:rsidP="0068771C">
      <w:pPr>
        <w:rPr>
          <w:rFonts w:asciiTheme="minorHAnsi" w:hAnsiTheme="minorHAnsi"/>
        </w:rPr>
      </w:pPr>
    </w:p>
    <w:p w14:paraId="40AE25E9" w14:textId="77777777" w:rsidR="0068771C" w:rsidRPr="00C5075D" w:rsidRDefault="0068771C" w:rsidP="0068771C">
      <w:pPr>
        <w:rPr>
          <w:rFonts w:asciiTheme="minorHAnsi" w:hAnsiTheme="minorHAnsi"/>
        </w:rPr>
      </w:pPr>
    </w:p>
    <w:p w14:paraId="515055A8" w14:textId="77777777" w:rsidR="009D6AEF" w:rsidRPr="009D6AEF" w:rsidRDefault="009D6AEF" w:rsidP="00087416">
      <w:pPr>
        <w:jc w:val="center"/>
        <w:rPr>
          <w:rFonts w:asciiTheme="minorHAnsi" w:hAnsiTheme="minorHAnsi"/>
          <w:b/>
        </w:rPr>
      </w:pPr>
      <w:r w:rsidRPr="009D6AEF">
        <w:rPr>
          <w:rFonts w:asciiTheme="minorHAnsi" w:hAnsiTheme="minorHAnsi"/>
          <w:b/>
        </w:rPr>
        <w:lastRenderedPageBreak/>
        <w:t>BILJEŠKE</w:t>
      </w:r>
      <w:r w:rsidRPr="009D6AEF">
        <w:rPr>
          <w:rFonts w:asciiTheme="minorHAnsi" w:hAnsiTheme="minorHAnsi"/>
        </w:rPr>
        <w:t xml:space="preserve"> </w:t>
      </w:r>
      <w:r w:rsidRPr="009D6AEF">
        <w:rPr>
          <w:rFonts w:asciiTheme="minorHAnsi" w:hAnsiTheme="minorHAnsi"/>
          <w:b/>
        </w:rPr>
        <w:t>UZ IZVJEŠTAJ O PRIHODIMA I RASHODIMA,  PRIMICIMA  I</w:t>
      </w:r>
    </w:p>
    <w:p w14:paraId="11F2E5DA" w14:textId="68654989" w:rsidR="009D6AEF" w:rsidRPr="009D6AEF" w:rsidRDefault="009D6AEF" w:rsidP="00087416">
      <w:pPr>
        <w:tabs>
          <w:tab w:val="left" w:pos="1170"/>
          <w:tab w:val="center" w:pos="4536"/>
        </w:tabs>
        <w:jc w:val="center"/>
        <w:rPr>
          <w:rFonts w:asciiTheme="minorHAnsi" w:hAnsiTheme="minorHAnsi"/>
          <w:b/>
        </w:rPr>
      </w:pPr>
      <w:r w:rsidRPr="009D6AEF">
        <w:rPr>
          <w:rFonts w:asciiTheme="minorHAnsi" w:hAnsiTheme="minorHAnsi"/>
          <w:b/>
        </w:rPr>
        <w:t>IZDACIMA  01.01. 201</w:t>
      </w:r>
      <w:r w:rsidR="00B1418C">
        <w:rPr>
          <w:rFonts w:asciiTheme="minorHAnsi" w:hAnsiTheme="minorHAnsi"/>
          <w:b/>
        </w:rPr>
        <w:t>9</w:t>
      </w:r>
      <w:r w:rsidRPr="009D6AEF">
        <w:rPr>
          <w:rFonts w:asciiTheme="minorHAnsi" w:hAnsiTheme="minorHAnsi"/>
          <w:b/>
        </w:rPr>
        <w:t>.  -  31.12. 201</w:t>
      </w:r>
      <w:r w:rsidR="00B1418C">
        <w:rPr>
          <w:rFonts w:asciiTheme="minorHAnsi" w:hAnsiTheme="minorHAnsi"/>
          <w:b/>
        </w:rPr>
        <w:t>9</w:t>
      </w:r>
      <w:r w:rsidRPr="009D6AEF">
        <w:rPr>
          <w:rFonts w:asciiTheme="minorHAnsi" w:hAnsiTheme="minorHAnsi"/>
          <w:b/>
        </w:rPr>
        <w:t>.</w:t>
      </w:r>
    </w:p>
    <w:p w14:paraId="2E688B2D" w14:textId="77777777" w:rsidR="009D6AEF" w:rsidRPr="009D6AEF" w:rsidRDefault="009D6AEF" w:rsidP="009D6AEF">
      <w:pPr>
        <w:jc w:val="center"/>
        <w:rPr>
          <w:rFonts w:asciiTheme="minorHAnsi" w:hAnsiTheme="minorHAnsi"/>
          <w:b/>
        </w:rPr>
      </w:pPr>
      <w:r w:rsidRPr="009D6AEF">
        <w:rPr>
          <w:rFonts w:asciiTheme="minorHAnsi" w:hAnsiTheme="minorHAnsi"/>
          <w:b/>
        </w:rPr>
        <w:t xml:space="preserve">                                                                                        </w:t>
      </w:r>
    </w:p>
    <w:p w14:paraId="2CD2857B" w14:textId="77777777" w:rsidR="009D6AEF" w:rsidRPr="009D6AEF" w:rsidRDefault="009D6AEF" w:rsidP="009D6AEF">
      <w:pPr>
        <w:rPr>
          <w:rFonts w:asciiTheme="minorHAnsi" w:hAnsiTheme="minorHAnsi"/>
          <w:b/>
        </w:rPr>
      </w:pPr>
    </w:p>
    <w:p w14:paraId="2CB67498" w14:textId="33E7F40E" w:rsidR="00C5075D" w:rsidRPr="00C5075D" w:rsidRDefault="00C5075D" w:rsidP="008A554D">
      <w:pPr>
        <w:jc w:val="both"/>
        <w:rPr>
          <w:rFonts w:asciiTheme="minorHAnsi" w:hAnsiTheme="minorHAnsi"/>
          <w:b/>
          <w:i/>
        </w:rPr>
      </w:pPr>
      <w:r w:rsidRPr="00C5075D">
        <w:rPr>
          <w:rFonts w:asciiTheme="minorHAnsi" w:hAnsiTheme="minorHAnsi"/>
          <w:b/>
          <w:i/>
        </w:rPr>
        <w:t>Prihodi poslovanja</w:t>
      </w:r>
    </w:p>
    <w:p w14:paraId="6EA3A955" w14:textId="1B6AAEF5" w:rsidR="00C5075D" w:rsidRDefault="00C5075D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ab/>
        <w:t>AOP 001 – prihodi poslovanja poveća</w:t>
      </w:r>
      <w:r w:rsidR="004A3742">
        <w:rPr>
          <w:rFonts w:asciiTheme="minorHAnsi" w:hAnsiTheme="minorHAnsi"/>
        </w:rPr>
        <w:t>ni</w:t>
      </w:r>
      <w:r w:rsidRPr="00C5075D">
        <w:rPr>
          <w:rFonts w:asciiTheme="minorHAnsi" w:hAnsiTheme="minorHAnsi"/>
        </w:rPr>
        <w:t xml:space="preserve"> su  za </w:t>
      </w:r>
      <w:r w:rsidR="00F37B0D">
        <w:rPr>
          <w:rFonts w:asciiTheme="minorHAnsi" w:hAnsiTheme="minorHAnsi"/>
        </w:rPr>
        <w:t>6.893.978</w:t>
      </w:r>
      <w:r w:rsidRPr="00C5075D">
        <w:rPr>
          <w:rFonts w:asciiTheme="minorHAnsi" w:hAnsiTheme="minorHAnsi"/>
        </w:rPr>
        <w:t xml:space="preserve"> kn, odnosno </w:t>
      </w:r>
      <w:r w:rsidR="00F37B0D">
        <w:rPr>
          <w:rFonts w:asciiTheme="minorHAnsi" w:hAnsiTheme="minorHAnsi"/>
        </w:rPr>
        <w:t>6,5</w:t>
      </w:r>
      <w:r w:rsidR="001E635D">
        <w:rPr>
          <w:rFonts w:asciiTheme="minorHAnsi" w:hAnsiTheme="minorHAnsi"/>
        </w:rPr>
        <w:t>%</w:t>
      </w:r>
      <w:r w:rsidRPr="00C5075D">
        <w:rPr>
          <w:rFonts w:asciiTheme="minorHAnsi" w:hAnsiTheme="minorHAnsi"/>
        </w:rPr>
        <w:t xml:space="preserve"> u odnosu na ostvarene </w:t>
      </w:r>
      <w:r w:rsidR="0053738F">
        <w:rPr>
          <w:rFonts w:asciiTheme="minorHAnsi" w:hAnsiTheme="minorHAnsi"/>
        </w:rPr>
        <w:t xml:space="preserve">prihode </w:t>
      </w:r>
      <w:r w:rsidRPr="00C5075D">
        <w:rPr>
          <w:rFonts w:asciiTheme="minorHAnsi" w:hAnsiTheme="minorHAnsi"/>
        </w:rPr>
        <w:t xml:space="preserve">u prethodnoj godini. </w:t>
      </w:r>
      <w:r w:rsidR="007903F9">
        <w:rPr>
          <w:rFonts w:asciiTheme="minorHAnsi" w:hAnsiTheme="minorHAnsi"/>
        </w:rPr>
        <w:t xml:space="preserve">Osnovni razlog </w:t>
      </w:r>
      <w:r w:rsidR="0053738F">
        <w:rPr>
          <w:rFonts w:asciiTheme="minorHAnsi" w:hAnsiTheme="minorHAnsi"/>
        </w:rPr>
        <w:t xml:space="preserve">većeg ostvarenja prihoda </w:t>
      </w:r>
      <w:r w:rsidR="007903F9">
        <w:rPr>
          <w:rFonts w:asciiTheme="minorHAnsi" w:hAnsiTheme="minorHAnsi"/>
        </w:rPr>
        <w:t>u odnosu na proteklu godinu proizlazi iz više ostvarenih prihoda od HZZO zbog izvršenja ugovora</w:t>
      </w:r>
      <w:r w:rsidR="001E635D">
        <w:rPr>
          <w:rFonts w:asciiTheme="minorHAnsi" w:hAnsiTheme="minorHAnsi"/>
        </w:rPr>
        <w:t xml:space="preserve"> o pružanju bolničke i specijalističko konzilijarne zdravstvene zaštite - </w:t>
      </w:r>
      <w:r w:rsidR="00B82941">
        <w:rPr>
          <w:rFonts w:asciiTheme="minorHAnsi" w:hAnsiTheme="minorHAnsi"/>
        </w:rPr>
        <w:t>p</w:t>
      </w:r>
      <w:r w:rsidRPr="00C5075D">
        <w:rPr>
          <w:rFonts w:asciiTheme="minorHAnsi" w:hAnsiTheme="minorHAnsi"/>
        </w:rPr>
        <w:t>rihod je prikazan na AOP -13</w:t>
      </w:r>
      <w:r w:rsidR="007903F9">
        <w:rPr>
          <w:rFonts w:asciiTheme="minorHAnsi" w:hAnsiTheme="minorHAnsi"/>
        </w:rPr>
        <w:t>5</w:t>
      </w:r>
      <w:r w:rsidR="0061582D">
        <w:rPr>
          <w:rFonts w:asciiTheme="minorHAnsi" w:hAnsiTheme="minorHAnsi"/>
        </w:rPr>
        <w:t>.</w:t>
      </w:r>
      <w:r w:rsidR="00B82941">
        <w:rPr>
          <w:rFonts w:asciiTheme="minorHAnsi" w:hAnsiTheme="minorHAnsi"/>
        </w:rPr>
        <w:t xml:space="preserve"> </w:t>
      </w:r>
    </w:p>
    <w:p w14:paraId="222EC0CE" w14:textId="79491767" w:rsidR="00D16B02" w:rsidRPr="00C5075D" w:rsidRDefault="0061582D" w:rsidP="008A55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C5075D" w:rsidRPr="00C5075D">
        <w:rPr>
          <w:rFonts w:asciiTheme="minorHAnsi" w:hAnsiTheme="minorHAnsi"/>
        </w:rPr>
        <w:tab/>
        <w:t xml:space="preserve">AOP  </w:t>
      </w:r>
      <w:r w:rsidR="004E178E">
        <w:rPr>
          <w:rFonts w:asciiTheme="minorHAnsi" w:hAnsiTheme="minorHAnsi"/>
        </w:rPr>
        <w:t>058</w:t>
      </w:r>
      <w:r w:rsidR="00C5075D" w:rsidRPr="00C5075D">
        <w:rPr>
          <w:rFonts w:asciiTheme="minorHAnsi" w:hAnsiTheme="minorHAnsi"/>
        </w:rPr>
        <w:t xml:space="preserve"> – </w:t>
      </w:r>
      <w:r w:rsidR="004E178E">
        <w:rPr>
          <w:rFonts w:asciiTheme="minorHAnsi" w:hAnsiTheme="minorHAnsi"/>
        </w:rPr>
        <w:t>Tekuće pomoći od izvanproračunskih korisnika</w:t>
      </w:r>
      <w:r w:rsidR="00D16B02">
        <w:rPr>
          <w:rFonts w:asciiTheme="minorHAnsi" w:hAnsiTheme="minorHAnsi"/>
        </w:rPr>
        <w:t xml:space="preserve"> su </w:t>
      </w:r>
      <w:r w:rsidR="004E178E">
        <w:rPr>
          <w:rFonts w:asciiTheme="minorHAnsi" w:hAnsiTheme="minorHAnsi"/>
        </w:rPr>
        <w:t xml:space="preserve"> </w:t>
      </w:r>
      <w:r w:rsidR="00D16B02">
        <w:rPr>
          <w:rFonts w:asciiTheme="minorHAnsi" w:hAnsiTheme="minorHAnsi"/>
        </w:rPr>
        <w:t xml:space="preserve">prihodi koje ostvarujemo od Zavoda za zapošljavanje, a odnose se na financiranje pripravnika i stručnog osposobljavanja bez zasnivanja radnog odnosa. Financiranje u promatranoj godini ostvareno je sukladno propisanim  pravilima i kriterijima koje propisuje Zavod za zapošljavanje.  </w:t>
      </w:r>
    </w:p>
    <w:p w14:paraId="0C956310" w14:textId="70E153FE" w:rsidR="000846A7" w:rsidRDefault="004E178E" w:rsidP="008A55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0846A7">
        <w:rPr>
          <w:rFonts w:asciiTheme="minorHAnsi" w:hAnsiTheme="minorHAnsi"/>
        </w:rPr>
        <w:t xml:space="preserve">           </w:t>
      </w:r>
      <w:r w:rsidR="000846A7" w:rsidRPr="00C5075D">
        <w:rPr>
          <w:rFonts w:asciiTheme="minorHAnsi" w:hAnsiTheme="minorHAnsi"/>
        </w:rPr>
        <w:t xml:space="preserve">AOP  </w:t>
      </w:r>
      <w:r w:rsidR="000846A7">
        <w:rPr>
          <w:rFonts w:asciiTheme="minorHAnsi" w:hAnsiTheme="minorHAnsi"/>
        </w:rPr>
        <w:t>06</w:t>
      </w:r>
      <w:r w:rsidR="0079474A">
        <w:rPr>
          <w:rFonts w:asciiTheme="minorHAnsi" w:hAnsiTheme="minorHAnsi"/>
        </w:rPr>
        <w:t>5</w:t>
      </w:r>
      <w:r w:rsidR="000846A7" w:rsidRPr="00C5075D">
        <w:rPr>
          <w:rFonts w:asciiTheme="minorHAnsi" w:hAnsiTheme="minorHAnsi"/>
        </w:rPr>
        <w:t xml:space="preserve"> – </w:t>
      </w:r>
      <w:r w:rsidR="0079474A">
        <w:rPr>
          <w:rFonts w:asciiTheme="minorHAnsi" w:hAnsiTheme="minorHAnsi"/>
        </w:rPr>
        <w:t>Kapitalne p</w:t>
      </w:r>
      <w:r w:rsidR="000846A7">
        <w:rPr>
          <w:rFonts w:asciiTheme="minorHAnsi" w:hAnsiTheme="minorHAnsi"/>
        </w:rPr>
        <w:t xml:space="preserve">omoći proračunskim korisnicima iz proračuna koji im nije nadležan  </w:t>
      </w:r>
      <w:r w:rsidR="0079474A">
        <w:rPr>
          <w:rFonts w:asciiTheme="minorHAnsi" w:hAnsiTheme="minorHAnsi"/>
        </w:rPr>
        <w:t xml:space="preserve">odnosi se na uplate lokalnih proračuna kao pomoć u   opremanju </w:t>
      </w:r>
      <w:r w:rsidR="008A554D">
        <w:rPr>
          <w:rFonts w:asciiTheme="minorHAnsi" w:hAnsiTheme="minorHAnsi"/>
        </w:rPr>
        <w:t>P</w:t>
      </w:r>
      <w:r w:rsidR="0079474A">
        <w:rPr>
          <w:rFonts w:asciiTheme="minorHAnsi" w:hAnsiTheme="minorHAnsi"/>
        </w:rPr>
        <w:t>oliklinike za fizikalnu terapiju.</w:t>
      </w:r>
    </w:p>
    <w:p w14:paraId="17ACD995" w14:textId="77777777" w:rsidR="00D16B02" w:rsidRDefault="000846A7" w:rsidP="008A55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Pr="00C5075D">
        <w:rPr>
          <w:rFonts w:asciiTheme="minorHAnsi" w:hAnsiTheme="minorHAnsi"/>
        </w:rPr>
        <w:t xml:space="preserve">AOP  </w:t>
      </w:r>
      <w:r>
        <w:rPr>
          <w:rFonts w:asciiTheme="minorHAnsi" w:hAnsiTheme="minorHAnsi"/>
        </w:rPr>
        <w:t>06</w:t>
      </w:r>
      <w:r w:rsidR="00D16B02">
        <w:rPr>
          <w:rFonts w:asciiTheme="minorHAnsi" w:hAnsiTheme="minorHAnsi"/>
        </w:rPr>
        <w:t>7</w:t>
      </w:r>
      <w:r w:rsidRPr="00C5075D">
        <w:rPr>
          <w:rFonts w:asciiTheme="minorHAnsi" w:hAnsiTheme="minorHAnsi"/>
        </w:rPr>
        <w:t xml:space="preserve"> – </w:t>
      </w:r>
      <w:r w:rsidR="00D16B02">
        <w:rPr>
          <w:rFonts w:asciiTheme="minorHAnsi" w:hAnsiTheme="minorHAnsi"/>
        </w:rPr>
        <w:t>Tekuće p</w:t>
      </w:r>
      <w:r>
        <w:rPr>
          <w:rFonts w:asciiTheme="minorHAnsi" w:hAnsiTheme="minorHAnsi"/>
        </w:rPr>
        <w:t xml:space="preserve">omoći temeljem prijenosa EU sredstava </w:t>
      </w:r>
      <w:r w:rsidR="00D16B02">
        <w:rPr>
          <w:rFonts w:asciiTheme="minorHAnsi" w:hAnsiTheme="minorHAnsi"/>
        </w:rPr>
        <w:t>su prihodi koje ostvarujemo od Zavoda za zapošljavanje, a odnose se na financiranje pripravnika i stručnog osposobljavanja bez zasnivanja radnog odnosa. Zavod za zapošljavanje je dio sredstava za financiranje pripravnika i stručnog osposobljavanja bez zasnivanja radnog odnosa financirao iz sredstava EU.</w:t>
      </w:r>
    </w:p>
    <w:p w14:paraId="5A060FEA" w14:textId="5FFB36A0" w:rsidR="000846A7" w:rsidRPr="00C5075D" w:rsidRDefault="00D16B02" w:rsidP="008A55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AO</w:t>
      </w:r>
      <w:r w:rsidR="000846A7">
        <w:rPr>
          <w:rFonts w:asciiTheme="minorHAnsi" w:hAnsiTheme="minorHAnsi"/>
        </w:rPr>
        <w:t>P 0</w:t>
      </w:r>
      <w:r w:rsidR="00F62E8E">
        <w:rPr>
          <w:rFonts w:asciiTheme="minorHAnsi" w:hAnsiTheme="minorHAnsi"/>
        </w:rPr>
        <w:t>80</w:t>
      </w:r>
      <w:r w:rsidR="000846A7">
        <w:rPr>
          <w:rFonts w:asciiTheme="minorHAnsi" w:hAnsiTheme="minorHAnsi"/>
        </w:rPr>
        <w:t xml:space="preserve"> Prihodi od </w:t>
      </w:r>
      <w:r w:rsidR="00F62E8E">
        <w:rPr>
          <w:rFonts w:asciiTheme="minorHAnsi" w:hAnsiTheme="minorHAnsi"/>
        </w:rPr>
        <w:t>dividendi</w:t>
      </w:r>
      <w:r w:rsidR="000846A7">
        <w:rPr>
          <w:rFonts w:asciiTheme="minorHAnsi" w:hAnsiTheme="minorHAnsi"/>
        </w:rPr>
        <w:t xml:space="preserve"> odnose se na isplaćenu dividendu za dionice PBZ koje bolnica ima u svojem vlasništvu. </w:t>
      </w:r>
    </w:p>
    <w:p w14:paraId="0C524D1C" w14:textId="05ED9E56" w:rsidR="00C5075D" w:rsidRPr="00C5075D" w:rsidRDefault="00C5075D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ab/>
        <w:t>AOP 12</w:t>
      </w:r>
      <w:r w:rsidR="004E178E">
        <w:rPr>
          <w:rFonts w:asciiTheme="minorHAnsi" w:hAnsiTheme="minorHAnsi"/>
        </w:rPr>
        <w:t>5</w:t>
      </w:r>
      <w:r w:rsidRPr="00C5075D">
        <w:rPr>
          <w:rFonts w:asciiTheme="minorHAnsi" w:hAnsiTheme="minorHAnsi"/>
        </w:rPr>
        <w:t xml:space="preserve"> </w:t>
      </w:r>
      <w:r w:rsidR="0053738F">
        <w:rPr>
          <w:rFonts w:asciiTheme="minorHAnsi" w:hAnsiTheme="minorHAnsi"/>
        </w:rPr>
        <w:t xml:space="preserve">- </w:t>
      </w:r>
      <w:r w:rsidR="004E178E">
        <w:rPr>
          <w:rFonts w:asciiTheme="minorHAnsi" w:hAnsiTheme="minorHAnsi"/>
        </w:rPr>
        <w:t xml:space="preserve">prihodi od prodaje proizvoda i robe </w:t>
      </w:r>
      <w:r w:rsidR="0061582D">
        <w:rPr>
          <w:rFonts w:asciiTheme="minorHAnsi" w:hAnsiTheme="minorHAnsi"/>
        </w:rPr>
        <w:t>smanjeni su u odnosu na proteklu godinu jer nije bilo</w:t>
      </w:r>
      <w:r w:rsidR="0053738F">
        <w:rPr>
          <w:rFonts w:asciiTheme="minorHAnsi" w:hAnsiTheme="minorHAnsi"/>
        </w:rPr>
        <w:t xml:space="preserve"> prihod</w:t>
      </w:r>
      <w:r w:rsidR="0061582D">
        <w:rPr>
          <w:rFonts w:asciiTheme="minorHAnsi" w:hAnsiTheme="minorHAnsi"/>
        </w:rPr>
        <w:t>a</w:t>
      </w:r>
      <w:r w:rsidR="0053738F">
        <w:rPr>
          <w:rFonts w:asciiTheme="minorHAnsi" w:hAnsiTheme="minorHAnsi"/>
        </w:rPr>
        <w:t xml:space="preserve"> od pr</w:t>
      </w:r>
      <w:r w:rsidR="004E178E">
        <w:rPr>
          <w:rFonts w:asciiTheme="minorHAnsi" w:hAnsiTheme="minorHAnsi"/>
        </w:rPr>
        <w:t>odan</w:t>
      </w:r>
      <w:r w:rsidR="0053738F">
        <w:rPr>
          <w:rFonts w:asciiTheme="minorHAnsi" w:hAnsiTheme="minorHAnsi"/>
        </w:rPr>
        <w:t>ih</w:t>
      </w:r>
      <w:r w:rsidR="004E178E">
        <w:rPr>
          <w:rFonts w:asciiTheme="minorHAnsi" w:hAnsiTheme="minorHAnsi"/>
        </w:rPr>
        <w:t xml:space="preserve"> drva iz bolničke šume temeljem </w:t>
      </w:r>
      <w:r w:rsidR="0053738F">
        <w:rPr>
          <w:rFonts w:asciiTheme="minorHAnsi" w:hAnsiTheme="minorHAnsi"/>
        </w:rPr>
        <w:t xml:space="preserve">programa </w:t>
      </w:r>
      <w:r w:rsidR="004E178E">
        <w:rPr>
          <w:rFonts w:asciiTheme="minorHAnsi" w:hAnsiTheme="minorHAnsi"/>
        </w:rPr>
        <w:t>gospodarenja šumom koju bolnica ima u svojem vlasništvu</w:t>
      </w:r>
      <w:r w:rsidR="0079474A">
        <w:rPr>
          <w:rFonts w:asciiTheme="minorHAnsi" w:hAnsiTheme="minorHAnsi"/>
        </w:rPr>
        <w:t>, a koji su bili u prethodnoj godini</w:t>
      </w:r>
      <w:r w:rsidR="0053738F">
        <w:rPr>
          <w:rFonts w:asciiTheme="minorHAnsi" w:hAnsiTheme="minorHAnsi"/>
        </w:rPr>
        <w:t>.</w:t>
      </w:r>
      <w:r w:rsidRPr="00C5075D">
        <w:rPr>
          <w:rFonts w:asciiTheme="minorHAnsi" w:hAnsiTheme="minorHAnsi"/>
        </w:rPr>
        <w:t xml:space="preserve"> </w:t>
      </w:r>
    </w:p>
    <w:p w14:paraId="75DE85A3" w14:textId="7E567653" w:rsidR="007661B2" w:rsidRDefault="00C5075D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ab/>
      </w:r>
      <w:r w:rsidR="007661B2" w:rsidRPr="00C5075D">
        <w:rPr>
          <w:rFonts w:asciiTheme="minorHAnsi" w:hAnsiTheme="minorHAnsi"/>
        </w:rPr>
        <w:t xml:space="preserve">AOP </w:t>
      </w:r>
      <w:r w:rsidR="007661B2">
        <w:rPr>
          <w:rFonts w:asciiTheme="minorHAnsi" w:hAnsiTheme="minorHAnsi"/>
        </w:rPr>
        <w:t>131</w:t>
      </w:r>
      <w:r w:rsidR="007661B2" w:rsidRPr="00C5075D">
        <w:rPr>
          <w:rFonts w:asciiTheme="minorHAnsi" w:hAnsiTheme="minorHAnsi"/>
        </w:rPr>
        <w:t xml:space="preserve"> – </w:t>
      </w:r>
      <w:r w:rsidR="007661B2">
        <w:rPr>
          <w:rFonts w:asciiTheme="minorHAnsi" w:hAnsiTheme="minorHAnsi"/>
        </w:rPr>
        <w:t xml:space="preserve">prihodi iz nadležnog proračuna za financiranje redovne djelatnosti proračunskih korisnika povećali su se za </w:t>
      </w:r>
      <w:r w:rsidR="0061582D">
        <w:rPr>
          <w:rFonts w:asciiTheme="minorHAnsi" w:hAnsiTheme="minorHAnsi"/>
        </w:rPr>
        <w:t>24,5</w:t>
      </w:r>
      <w:r w:rsidR="007661B2">
        <w:rPr>
          <w:rFonts w:asciiTheme="minorHAnsi" w:hAnsiTheme="minorHAnsi"/>
        </w:rPr>
        <w:t xml:space="preserve">% odnosno </w:t>
      </w:r>
      <w:r w:rsidR="0061582D">
        <w:rPr>
          <w:rFonts w:asciiTheme="minorHAnsi" w:hAnsiTheme="minorHAnsi"/>
        </w:rPr>
        <w:t>652.722</w:t>
      </w:r>
      <w:r w:rsidR="007661B2">
        <w:rPr>
          <w:rFonts w:asciiTheme="minorHAnsi" w:hAnsiTheme="minorHAnsi"/>
        </w:rPr>
        <w:t xml:space="preserve"> kune od čega se povećanje  odnosi na ostvarene veće prihode od decentraliziranih funkcija Sisačko moslavačke županije</w:t>
      </w:r>
      <w:r w:rsidR="00CD0A52">
        <w:rPr>
          <w:rFonts w:asciiTheme="minorHAnsi" w:hAnsiTheme="minorHAnsi"/>
        </w:rPr>
        <w:t xml:space="preserve"> sukladno planu prioriteta.</w:t>
      </w:r>
      <w:r w:rsidR="0061582D">
        <w:rPr>
          <w:rFonts w:asciiTheme="minorHAnsi" w:hAnsiTheme="minorHAnsi"/>
        </w:rPr>
        <w:t xml:space="preserve"> </w:t>
      </w:r>
      <w:r w:rsidR="007661B2">
        <w:rPr>
          <w:rFonts w:asciiTheme="minorHAnsi" w:hAnsiTheme="minorHAnsi"/>
        </w:rPr>
        <w:t xml:space="preserve"> </w:t>
      </w:r>
    </w:p>
    <w:p w14:paraId="41FD0A1A" w14:textId="57EE53B1" w:rsidR="007903F9" w:rsidRDefault="007903F9" w:rsidP="008A55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</w:p>
    <w:p w14:paraId="2B15B483" w14:textId="733F1031" w:rsidR="00C5075D" w:rsidRPr="00C5075D" w:rsidRDefault="00C5075D" w:rsidP="008A554D">
      <w:pPr>
        <w:jc w:val="both"/>
        <w:rPr>
          <w:rFonts w:asciiTheme="minorHAnsi" w:hAnsiTheme="minorHAnsi"/>
          <w:b/>
          <w:i/>
        </w:rPr>
      </w:pPr>
      <w:r w:rsidRPr="00C5075D">
        <w:rPr>
          <w:rFonts w:asciiTheme="minorHAnsi" w:hAnsiTheme="minorHAnsi"/>
        </w:rPr>
        <w:tab/>
      </w:r>
    </w:p>
    <w:p w14:paraId="7ABABD8F" w14:textId="4539709E" w:rsidR="00C5075D" w:rsidRPr="00C5075D" w:rsidRDefault="00C5075D" w:rsidP="008A554D">
      <w:pPr>
        <w:jc w:val="both"/>
        <w:rPr>
          <w:rFonts w:asciiTheme="minorHAnsi" w:hAnsiTheme="minorHAnsi"/>
          <w:b/>
          <w:i/>
        </w:rPr>
      </w:pPr>
      <w:r w:rsidRPr="00C5075D">
        <w:rPr>
          <w:rFonts w:asciiTheme="minorHAnsi" w:hAnsiTheme="minorHAnsi"/>
          <w:b/>
          <w:i/>
        </w:rPr>
        <w:t>Rashodi poslovanja</w:t>
      </w:r>
    </w:p>
    <w:p w14:paraId="69070B16" w14:textId="2291B8A3" w:rsidR="00C5075D" w:rsidRPr="00C5075D" w:rsidRDefault="00C5075D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ab/>
        <w:t xml:space="preserve">AOP  148 – rashodi poslovanja povećali su se za </w:t>
      </w:r>
      <w:r w:rsidR="00A40C66">
        <w:rPr>
          <w:rFonts w:asciiTheme="minorHAnsi" w:hAnsiTheme="minorHAnsi"/>
        </w:rPr>
        <w:t>4,</w:t>
      </w:r>
      <w:proofErr w:type="spellStart"/>
      <w:r w:rsidR="00A40C66">
        <w:rPr>
          <w:rFonts w:asciiTheme="minorHAnsi" w:hAnsiTheme="minorHAnsi"/>
        </w:rPr>
        <w:t>4</w:t>
      </w:r>
      <w:proofErr w:type="spellEnd"/>
      <w:r w:rsidRPr="00C5075D">
        <w:rPr>
          <w:rFonts w:asciiTheme="minorHAnsi" w:hAnsiTheme="minorHAnsi"/>
        </w:rPr>
        <w:t xml:space="preserve">%, odnosno za </w:t>
      </w:r>
      <w:r w:rsidR="00A40C66">
        <w:rPr>
          <w:rFonts w:asciiTheme="minorHAnsi" w:hAnsiTheme="minorHAnsi"/>
        </w:rPr>
        <w:t>4.631.522</w:t>
      </w:r>
      <w:r w:rsidRPr="00C5075D">
        <w:rPr>
          <w:rFonts w:asciiTheme="minorHAnsi" w:hAnsiTheme="minorHAnsi"/>
        </w:rPr>
        <w:t xml:space="preserve"> kn u odnosu na 201</w:t>
      </w:r>
      <w:r w:rsidR="00A40C66">
        <w:rPr>
          <w:rFonts w:asciiTheme="minorHAnsi" w:hAnsiTheme="minorHAnsi"/>
        </w:rPr>
        <w:t>8</w:t>
      </w:r>
      <w:r w:rsidRPr="00C5075D">
        <w:rPr>
          <w:rFonts w:asciiTheme="minorHAnsi" w:hAnsiTheme="minorHAnsi"/>
        </w:rPr>
        <w:t>. godinu. Rast rashoda najviše su uzrokovali rashodi za zaposlene iskazan na AOP - 1</w:t>
      </w:r>
      <w:r w:rsidR="0053738F">
        <w:rPr>
          <w:rFonts w:asciiTheme="minorHAnsi" w:hAnsiTheme="minorHAnsi"/>
        </w:rPr>
        <w:t>49</w:t>
      </w:r>
      <w:r w:rsidRPr="00C5075D">
        <w:rPr>
          <w:rFonts w:asciiTheme="minorHAnsi" w:hAnsiTheme="minorHAnsi"/>
        </w:rPr>
        <w:t xml:space="preserve"> u iznosu </w:t>
      </w:r>
      <w:r w:rsidR="00A40C66">
        <w:rPr>
          <w:rFonts w:asciiTheme="minorHAnsi" w:hAnsiTheme="minorHAnsi"/>
        </w:rPr>
        <w:t>4.200.118</w:t>
      </w:r>
      <w:r w:rsidRPr="00C5075D">
        <w:rPr>
          <w:rFonts w:asciiTheme="minorHAnsi" w:hAnsiTheme="minorHAnsi"/>
        </w:rPr>
        <w:t xml:space="preserve"> kn</w:t>
      </w:r>
      <w:r w:rsidR="00A40C66">
        <w:rPr>
          <w:rFonts w:asciiTheme="minorHAnsi" w:hAnsiTheme="minorHAnsi"/>
        </w:rPr>
        <w:t xml:space="preserve"> zbog veće osnovice za obračun plaće te većih dodataka za uvjete rada sukladno Kolektivnom ugovoru za zdravstvo</w:t>
      </w:r>
      <w:r w:rsidRPr="00C5075D">
        <w:rPr>
          <w:rFonts w:asciiTheme="minorHAnsi" w:hAnsiTheme="minorHAnsi"/>
        </w:rPr>
        <w:t>.</w:t>
      </w:r>
    </w:p>
    <w:p w14:paraId="0B2F7503" w14:textId="2A0A512A" w:rsidR="00866513" w:rsidRDefault="00C5075D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ab/>
      </w:r>
      <w:r w:rsidR="00866513" w:rsidRPr="00C5075D">
        <w:rPr>
          <w:rFonts w:asciiTheme="minorHAnsi" w:hAnsiTheme="minorHAnsi"/>
        </w:rPr>
        <w:t>AOP 1</w:t>
      </w:r>
      <w:r w:rsidR="00866513">
        <w:rPr>
          <w:rFonts w:asciiTheme="minorHAnsi" w:hAnsiTheme="minorHAnsi"/>
        </w:rPr>
        <w:t>71</w:t>
      </w:r>
      <w:r w:rsidR="00866513" w:rsidRPr="00C5075D">
        <w:rPr>
          <w:rFonts w:asciiTheme="minorHAnsi" w:hAnsiTheme="minorHAnsi"/>
        </w:rPr>
        <w:t xml:space="preserve"> – </w:t>
      </w:r>
      <w:r w:rsidR="00866513">
        <w:rPr>
          <w:rFonts w:asciiTheme="minorHAnsi" w:hAnsiTheme="minorHAnsi"/>
        </w:rPr>
        <w:t xml:space="preserve">rashodi za sitni inventar i auto gume </w:t>
      </w:r>
      <w:r w:rsidR="00866513" w:rsidRPr="00C5075D">
        <w:rPr>
          <w:rFonts w:asciiTheme="minorHAnsi" w:hAnsiTheme="minorHAnsi"/>
        </w:rPr>
        <w:t xml:space="preserve"> </w:t>
      </w:r>
      <w:r w:rsidR="00A40C66">
        <w:rPr>
          <w:rFonts w:asciiTheme="minorHAnsi" w:hAnsiTheme="minorHAnsi"/>
        </w:rPr>
        <w:t>smanjeni su u odnosu na prethodnu godinu kada su izvršene potrebne nabave sitnog inventara (tekstila) za potrebe pacijenata.</w:t>
      </w:r>
      <w:r w:rsidR="00866513" w:rsidRPr="00C5075D">
        <w:rPr>
          <w:rFonts w:asciiTheme="minorHAnsi" w:hAnsiTheme="minorHAnsi"/>
        </w:rPr>
        <w:t xml:space="preserve"> </w:t>
      </w:r>
    </w:p>
    <w:p w14:paraId="09508E5A" w14:textId="7164CBA4" w:rsidR="00A40C66" w:rsidRDefault="00A40C66" w:rsidP="008A55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C5075D">
        <w:rPr>
          <w:rFonts w:asciiTheme="minorHAnsi" w:hAnsiTheme="minorHAnsi"/>
        </w:rPr>
        <w:t>AOP 1</w:t>
      </w:r>
      <w:r>
        <w:rPr>
          <w:rFonts w:asciiTheme="minorHAnsi" w:hAnsiTheme="minorHAnsi"/>
        </w:rPr>
        <w:t>73</w:t>
      </w:r>
      <w:r w:rsidRPr="00C5075D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rashodi za službenu, radnu i zaštitnu odjeću i obuću veći  su u odnosu na prethodnu godinu jer su bile izvršene potrebne nabave zaštitne odjeće i obuć</w:t>
      </w:r>
      <w:r w:rsidR="008A554D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za djelatnike</w:t>
      </w:r>
      <w:r w:rsidR="008A554D">
        <w:rPr>
          <w:rFonts w:asciiTheme="minorHAnsi" w:hAnsiTheme="minorHAnsi"/>
        </w:rPr>
        <w:t xml:space="preserve"> gdje je to bilo neophodno.</w:t>
      </w:r>
    </w:p>
    <w:p w14:paraId="0A8096E4" w14:textId="6C38E51B" w:rsidR="00A40C66" w:rsidRDefault="00A40C66" w:rsidP="008A55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AOP 176 </w:t>
      </w:r>
      <w:r w:rsidR="008A554D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 xml:space="preserve">Usluge tekućeg i investicijskog održavanja </w:t>
      </w:r>
      <w:r w:rsidR="004A0044">
        <w:rPr>
          <w:rFonts w:asciiTheme="minorHAnsi" w:hAnsiTheme="minorHAnsi"/>
        </w:rPr>
        <w:t xml:space="preserve">povećani u odnosu na prethodnu godinu </w:t>
      </w:r>
      <w:r w:rsidR="008A554D">
        <w:rPr>
          <w:rFonts w:asciiTheme="minorHAnsi" w:hAnsiTheme="minorHAnsi"/>
        </w:rPr>
        <w:t xml:space="preserve">jer </w:t>
      </w:r>
      <w:r w:rsidR="00CD0A52">
        <w:rPr>
          <w:rFonts w:asciiTheme="minorHAnsi" w:hAnsiTheme="minorHAnsi"/>
        </w:rPr>
        <w:t>smo uz redovito održavanje strojeva i opreme izvršili i  generalno uređenje stroja za pranje rublja u praonici</w:t>
      </w:r>
      <w:r w:rsidR="008A554D">
        <w:rPr>
          <w:rFonts w:asciiTheme="minorHAnsi" w:hAnsiTheme="minorHAnsi"/>
        </w:rPr>
        <w:t xml:space="preserve"> kako se ne bi dogodio zastoj u procesu rada.</w:t>
      </w:r>
      <w:r w:rsidR="00CD0A52">
        <w:rPr>
          <w:rFonts w:asciiTheme="minorHAnsi" w:hAnsiTheme="minorHAnsi"/>
        </w:rPr>
        <w:t xml:space="preserve">  </w:t>
      </w:r>
    </w:p>
    <w:p w14:paraId="2EC27BED" w14:textId="5DBA2B7A" w:rsidR="004A0044" w:rsidRPr="00C5075D" w:rsidRDefault="004A0044" w:rsidP="008A55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  <w:t>AOP 178</w:t>
      </w:r>
      <w:r w:rsidR="008A554D">
        <w:rPr>
          <w:rFonts w:asciiTheme="minorHAnsi" w:hAnsiTheme="minorHAnsi"/>
        </w:rPr>
        <w:t xml:space="preserve"> -</w:t>
      </w:r>
      <w:r>
        <w:rPr>
          <w:rFonts w:asciiTheme="minorHAnsi" w:hAnsiTheme="minorHAnsi"/>
        </w:rPr>
        <w:t xml:space="preserve"> Komunalne usluge</w:t>
      </w:r>
      <w:r w:rsidR="008A554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povećani rashodi u odnosu na proteklu godinu zbog povećanj</w:t>
      </w:r>
      <w:r w:rsidR="004868B9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cijena odvoza komunalnog otpada </w:t>
      </w:r>
      <w:r w:rsidR="004868B9">
        <w:rPr>
          <w:rFonts w:asciiTheme="minorHAnsi" w:hAnsiTheme="minorHAnsi"/>
        </w:rPr>
        <w:t xml:space="preserve">lokalnog komunalnog poduzeća </w:t>
      </w:r>
      <w:r>
        <w:rPr>
          <w:rFonts w:asciiTheme="minorHAnsi" w:hAnsiTheme="minorHAnsi"/>
        </w:rPr>
        <w:t>te povećanje cijene komunalne naknade koju određuje grad Popovača</w:t>
      </w:r>
      <w:r w:rsidR="008A554D">
        <w:rPr>
          <w:rFonts w:asciiTheme="minorHAnsi" w:hAnsiTheme="minorHAnsi"/>
        </w:rPr>
        <w:t>, a na što bolnica ne može utjecati</w:t>
      </w:r>
      <w:r>
        <w:rPr>
          <w:rFonts w:asciiTheme="minorHAnsi" w:hAnsiTheme="minorHAnsi"/>
        </w:rPr>
        <w:t xml:space="preserve">.  </w:t>
      </w:r>
    </w:p>
    <w:p w14:paraId="686BFA99" w14:textId="4A22CC19" w:rsidR="004A0044" w:rsidRPr="00C5075D" w:rsidRDefault="00866513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ab/>
        <w:t xml:space="preserve"> </w:t>
      </w:r>
      <w:r w:rsidR="004A0044">
        <w:rPr>
          <w:rFonts w:asciiTheme="minorHAnsi" w:hAnsiTheme="minorHAnsi"/>
        </w:rPr>
        <w:t xml:space="preserve">AOP 179 </w:t>
      </w:r>
      <w:r w:rsidR="008A554D">
        <w:rPr>
          <w:rFonts w:asciiTheme="minorHAnsi" w:hAnsiTheme="minorHAnsi"/>
        </w:rPr>
        <w:t xml:space="preserve">- </w:t>
      </w:r>
      <w:r w:rsidR="004A0044">
        <w:rPr>
          <w:rFonts w:asciiTheme="minorHAnsi" w:hAnsiTheme="minorHAnsi"/>
        </w:rPr>
        <w:t>Zakupnine i najamnine povećani rashodi u odnosu na proteklu godinu zbog najma medicinskih uređaja</w:t>
      </w:r>
      <w:r w:rsidR="00CC0F39">
        <w:rPr>
          <w:rFonts w:asciiTheme="minorHAnsi" w:hAnsiTheme="minorHAnsi"/>
        </w:rPr>
        <w:t xml:space="preserve"> (UZV i sonde)</w:t>
      </w:r>
      <w:r w:rsidR="004A0044">
        <w:rPr>
          <w:rFonts w:asciiTheme="minorHAnsi" w:hAnsiTheme="minorHAnsi"/>
        </w:rPr>
        <w:t xml:space="preserve">. </w:t>
      </w:r>
    </w:p>
    <w:p w14:paraId="36A8ADEF" w14:textId="7F94DC5D" w:rsidR="00866513" w:rsidRPr="00C5075D" w:rsidRDefault="004A0044" w:rsidP="008A55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="00866513" w:rsidRPr="00C5075D">
        <w:rPr>
          <w:rFonts w:asciiTheme="minorHAnsi" w:hAnsiTheme="minorHAnsi"/>
        </w:rPr>
        <w:t xml:space="preserve">AOP </w:t>
      </w:r>
      <w:r w:rsidR="00866513">
        <w:rPr>
          <w:rFonts w:asciiTheme="minorHAnsi" w:hAnsiTheme="minorHAnsi"/>
        </w:rPr>
        <w:t>210</w:t>
      </w:r>
      <w:r w:rsidR="00866513" w:rsidRPr="00C5075D">
        <w:rPr>
          <w:rFonts w:asciiTheme="minorHAnsi" w:hAnsiTheme="minorHAnsi"/>
        </w:rPr>
        <w:t xml:space="preserve"> – </w:t>
      </w:r>
      <w:r w:rsidR="00866513">
        <w:rPr>
          <w:rFonts w:asciiTheme="minorHAnsi" w:hAnsiTheme="minorHAnsi"/>
        </w:rPr>
        <w:t xml:space="preserve">zatezne kamate  </w:t>
      </w:r>
      <w:r w:rsidR="00866513" w:rsidRPr="00C5075D">
        <w:rPr>
          <w:rFonts w:asciiTheme="minorHAnsi" w:hAnsiTheme="minorHAnsi"/>
        </w:rPr>
        <w:t xml:space="preserve"> </w:t>
      </w:r>
      <w:r w:rsidR="00866513">
        <w:rPr>
          <w:rFonts w:asciiTheme="minorHAnsi" w:hAnsiTheme="minorHAnsi"/>
        </w:rPr>
        <w:t xml:space="preserve">veće su za </w:t>
      </w:r>
      <w:r>
        <w:rPr>
          <w:rFonts w:asciiTheme="minorHAnsi" w:hAnsiTheme="minorHAnsi"/>
        </w:rPr>
        <w:t xml:space="preserve">648.866 </w:t>
      </w:r>
      <w:r w:rsidR="00866513">
        <w:rPr>
          <w:rFonts w:asciiTheme="minorHAnsi" w:hAnsiTheme="minorHAnsi"/>
        </w:rPr>
        <w:t>k</w:t>
      </w:r>
      <w:r w:rsidR="00866513" w:rsidRPr="00C5075D">
        <w:rPr>
          <w:rFonts w:asciiTheme="minorHAnsi" w:hAnsiTheme="minorHAnsi"/>
        </w:rPr>
        <w:t xml:space="preserve">n zbog </w:t>
      </w:r>
      <w:r w:rsidR="00866513">
        <w:rPr>
          <w:rFonts w:asciiTheme="minorHAnsi" w:hAnsiTheme="minorHAnsi"/>
        </w:rPr>
        <w:t>obračunatih zateznih kam</w:t>
      </w:r>
      <w:r>
        <w:rPr>
          <w:rFonts w:asciiTheme="minorHAnsi" w:hAnsiTheme="minorHAnsi"/>
        </w:rPr>
        <w:t>a</w:t>
      </w:r>
      <w:r w:rsidR="00866513">
        <w:rPr>
          <w:rFonts w:asciiTheme="minorHAnsi" w:hAnsiTheme="minorHAnsi"/>
        </w:rPr>
        <w:t xml:space="preserve">ta za zakašnjelo plaćanje dobavljačima. </w:t>
      </w:r>
    </w:p>
    <w:p w14:paraId="784B9371" w14:textId="33FCC0B0" w:rsidR="004A0044" w:rsidRPr="00C5075D" w:rsidRDefault="00C5075D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 xml:space="preserve"> </w:t>
      </w:r>
      <w:r w:rsidR="004A0044">
        <w:rPr>
          <w:rFonts w:asciiTheme="minorHAnsi" w:hAnsiTheme="minorHAnsi"/>
        </w:rPr>
        <w:tab/>
      </w:r>
      <w:r w:rsidR="004A0044" w:rsidRPr="00C5075D">
        <w:rPr>
          <w:rFonts w:asciiTheme="minorHAnsi" w:hAnsiTheme="minorHAnsi"/>
        </w:rPr>
        <w:t xml:space="preserve">AOP </w:t>
      </w:r>
      <w:r w:rsidR="004A0044">
        <w:rPr>
          <w:rFonts w:asciiTheme="minorHAnsi" w:hAnsiTheme="minorHAnsi"/>
        </w:rPr>
        <w:t>254</w:t>
      </w:r>
      <w:r w:rsidR="004A0044" w:rsidRPr="00C5075D">
        <w:rPr>
          <w:rFonts w:asciiTheme="minorHAnsi" w:hAnsiTheme="minorHAnsi"/>
        </w:rPr>
        <w:t xml:space="preserve"> – </w:t>
      </w:r>
      <w:r w:rsidR="004A0044">
        <w:rPr>
          <w:rFonts w:asciiTheme="minorHAnsi" w:hAnsiTheme="minorHAnsi"/>
        </w:rPr>
        <w:t>naknade građanima i kućanstvima u novcu odnos</w:t>
      </w:r>
      <w:r w:rsidR="008A554D">
        <w:rPr>
          <w:rFonts w:asciiTheme="minorHAnsi" w:hAnsiTheme="minorHAnsi"/>
        </w:rPr>
        <w:t>i</w:t>
      </w:r>
      <w:r w:rsidR="004A0044">
        <w:rPr>
          <w:rFonts w:asciiTheme="minorHAnsi" w:hAnsiTheme="minorHAnsi"/>
        </w:rPr>
        <w:t xml:space="preserve"> se na plaćanje školarina zaposlenicima, a koji su smanjeni u odnosu na proteklu godinu jer nije bilo potrebe za istima. </w:t>
      </w:r>
    </w:p>
    <w:p w14:paraId="06644014" w14:textId="00A59049" w:rsidR="004A0044" w:rsidRDefault="004A0044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AOP 270 – Ugovorene kazne i ostale naknade štete u iznosu od 6.900 kuna odnose se na plaćenu kaznu po Zapisniku HZZO.</w:t>
      </w:r>
    </w:p>
    <w:p w14:paraId="1F1565A7" w14:textId="72B080D6" w:rsidR="00B1418C" w:rsidRDefault="00B1418C" w:rsidP="008A554D">
      <w:pPr>
        <w:jc w:val="both"/>
        <w:rPr>
          <w:rFonts w:asciiTheme="minorHAnsi" w:hAnsiTheme="minorHAnsi"/>
        </w:rPr>
      </w:pPr>
    </w:p>
    <w:p w14:paraId="12E97364" w14:textId="207117E3" w:rsidR="00B1418C" w:rsidRDefault="008679D6" w:rsidP="008A554D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Prihodi i rashodi od nefinancijske imovine</w:t>
      </w:r>
    </w:p>
    <w:p w14:paraId="672F6636" w14:textId="77777777" w:rsidR="008679D6" w:rsidRDefault="008679D6" w:rsidP="008A554D">
      <w:pPr>
        <w:jc w:val="both"/>
        <w:rPr>
          <w:rFonts w:asciiTheme="minorHAnsi" w:hAnsiTheme="minorHAnsi"/>
          <w:b/>
          <w:i/>
        </w:rPr>
      </w:pPr>
    </w:p>
    <w:p w14:paraId="7C92C2FC" w14:textId="79CC6425" w:rsidR="008679D6" w:rsidRDefault="008940B4" w:rsidP="008A55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8679D6" w:rsidRPr="008679D6">
        <w:rPr>
          <w:rFonts w:asciiTheme="minorHAnsi" w:hAnsiTheme="minorHAnsi"/>
        </w:rPr>
        <w:t xml:space="preserve">AOP  </w:t>
      </w:r>
      <w:r w:rsidR="008679D6">
        <w:rPr>
          <w:rFonts w:asciiTheme="minorHAnsi" w:hAnsiTheme="minorHAnsi"/>
        </w:rPr>
        <w:t>304 – odnose se na prihode od prodaje stanova sa stanarskim pravom. Ostvareni su u manjem iznosu u odnosu na prethodnu godinu jer nije bilo niti jedne konačne otplate što je bio slučaj u prethodnoj godini.</w:t>
      </w:r>
    </w:p>
    <w:p w14:paraId="3D6DD6DF" w14:textId="312ADE99" w:rsidR="008679D6" w:rsidRPr="008679D6" w:rsidRDefault="008940B4" w:rsidP="008A55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8679D6">
        <w:rPr>
          <w:rFonts w:asciiTheme="minorHAnsi" w:hAnsiTheme="minorHAnsi"/>
        </w:rPr>
        <w:t>AOP 317 – odnosi se na prihod od prodaje rashodovanog kombi vozila u iznosu 3.150 kn.</w:t>
      </w:r>
    </w:p>
    <w:p w14:paraId="2DAE1304" w14:textId="77777777" w:rsidR="008679D6" w:rsidRDefault="008679D6" w:rsidP="008A554D">
      <w:pPr>
        <w:jc w:val="both"/>
        <w:rPr>
          <w:rFonts w:asciiTheme="minorHAnsi" w:hAnsiTheme="minorHAnsi"/>
          <w:b/>
          <w:i/>
        </w:rPr>
      </w:pPr>
    </w:p>
    <w:p w14:paraId="0A1C5919" w14:textId="77777777" w:rsidR="008679D6" w:rsidRPr="00C5075D" w:rsidRDefault="008679D6" w:rsidP="008A554D">
      <w:pPr>
        <w:jc w:val="both"/>
        <w:rPr>
          <w:rFonts w:asciiTheme="minorHAnsi" w:hAnsiTheme="minorHAnsi"/>
          <w:b/>
          <w:i/>
        </w:rPr>
      </w:pPr>
    </w:p>
    <w:p w14:paraId="0050D02B" w14:textId="560CF2A2" w:rsidR="00C5075D" w:rsidRPr="00C5075D" w:rsidRDefault="00C5075D" w:rsidP="008A554D">
      <w:pPr>
        <w:jc w:val="both"/>
        <w:rPr>
          <w:rFonts w:asciiTheme="minorHAnsi" w:hAnsiTheme="minorHAnsi"/>
          <w:b/>
          <w:i/>
        </w:rPr>
      </w:pPr>
      <w:r w:rsidRPr="00C5075D">
        <w:rPr>
          <w:rFonts w:asciiTheme="minorHAnsi" w:hAnsiTheme="minorHAnsi"/>
          <w:b/>
          <w:i/>
        </w:rPr>
        <w:t>Rashodi za nabavu nefinancijske imovine</w:t>
      </w:r>
    </w:p>
    <w:p w14:paraId="60F97817" w14:textId="0DE1B36B" w:rsidR="00C5075D" w:rsidRDefault="00C5075D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ab/>
        <w:t xml:space="preserve">AOP 341 – ukupni rashodi za nabavu nefinancijske imovine ostvareni su za </w:t>
      </w:r>
      <w:r w:rsidR="008679D6">
        <w:rPr>
          <w:rFonts w:asciiTheme="minorHAnsi" w:hAnsiTheme="minorHAnsi"/>
        </w:rPr>
        <w:t>6,</w:t>
      </w:r>
      <w:proofErr w:type="spellStart"/>
      <w:r w:rsidR="008679D6">
        <w:rPr>
          <w:rFonts w:asciiTheme="minorHAnsi" w:hAnsiTheme="minorHAnsi"/>
        </w:rPr>
        <w:t>6</w:t>
      </w:r>
      <w:proofErr w:type="spellEnd"/>
      <w:r w:rsidRPr="00C5075D">
        <w:rPr>
          <w:rFonts w:asciiTheme="minorHAnsi" w:hAnsiTheme="minorHAnsi"/>
        </w:rPr>
        <w:t xml:space="preserve">%  </w:t>
      </w:r>
      <w:r w:rsidR="008679D6">
        <w:rPr>
          <w:rFonts w:asciiTheme="minorHAnsi" w:hAnsiTheme="minorHAnsi"/>
        </w:rPr>
        <w:t>većem iznosu</w:t>
      </w:r>
      <w:r w:rsidRPr="00C5075D">
        <w:rPr>
          <w:rFonts w:asciiTheme="minorHAnsi" w:hAnsiTheme="minorHAnsi"/>
        </w:rPr>
        <w:t xml:space="preserve"> nego u 201</w:t>
      </w:r>
      <w:r w:rsidR="008679D6">
        <w:rPr>
          <w:rFonts w:asciiTheme="minorHAnsi" w:hAnsiTheme="minorHAnsi"/>
        </w:rPr>
        <w:t>8</w:t>
      </w:r>
      <w:r w:rsidRPr="00C5075D">
        <w:rPr>
          <w:rFonts w:asciiTheme="minorHAnsi" w:hAnsiTheme="minorHAnsi"/>
        </w:rPr>
        <w:t xml:space="preserve">.godini. Decentralizirana sredstava  </w:t>
      </w:r>
      <w:r w:rsidR="00B6614B">
        <w:rPr>
          <w:rFonts w:asciiTheme="minorHAnsi" w:hAnsiTheme="minorHAnsi"/>
        </w:rPr>
        <w:t xml:space="preserve">Sisačko-moslavačke županije u potpunosti su realizirana sukladno Planu prioriteta. </w:t>
      </w:r>
    </w:p>
    <w:p w14:paraId="4CF74083" w14:textId="3D215102" w:rsidR="00B94023" w:rsidRPr="00C5075D" w:rsidRDefault="00B94023" w:rsidP="008A55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Rashodi za nabavu nefinancijske imovine realizirani su sukladno potrebama odjela i službi kako bi se osigurao nesmetani rad i poboljšao smještaj pacijenata. </w:t>
      </w:r>
    </w:p>
    <w:p w14:paraId="5D80FC3F" w14:textId="77777777" w:rsidR="00C5075D" w:rsidRPr="00C5075D" w:rsidRDefault="00C5075D" w:rsidP="008A554D">
      <w:pPr>
        <w:jc w:val="both"/>
        <w:rPr>
          <w:rFonts w:asciiTheme="minorHAnsi" w:hAnsiTheme="minorHAnsi"/>
        </w:rPr>
      </w:pPr>
    </w:p>
    <w:p w14:paraId="3859DA53" w14:textId="67726A9D" w:rsidR="00C5075D" w:rsidRPr="00C5075D" w:rsidRDefault="00C5075D" w:rsidP="008A554D">
      <w:pPr>
        <w:jc w:val="both"/>
        <w:rPr>
          <w:rFonts w:asciiTheme="minorHAnsi" w:hAnsiTheme="minorHAnsi"/>
          <w:b/>
          <w:i/>
        </w:rPr>
      </w:pPr>
      <w:r w:rsidRPr="00C5075D">
        <w:rPr>
          <w:rFonts w:asciiTheme="minorHAnsi" w:hAnsiTheme="minorHAnsi"/>
          <w:b/>
          <w:i/>
        </w:rPr>
        <w:t>Rezultat poslovanja</w:t>
      </w:r>
    </w:p>
    <w:p w14:paraId="6A196908" w14:textId="7FB95497" w:rsidR="00C5075D" w:rsidRPr="00C5075D" w:rsidRDefault="00C5075D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ab/>
        <w:t xml:space="preserve">AOP 629 - ukupni prihodi i primici ostvareni su za </w:t>
      </w:r>
      <w:r w:rsidR="00B94023">
        <w:rPr>
          <w:rFonts w:asciiTheme="minorHAnsi" w:hAnsiTheme="minorHAnsi"/>
        </w:rPr>
        <w:t>6,5</w:t>
      </w:r>
      <w:r w:rsidRPr="00C5075D">
        <w:rPr>
          <w:rFonts w:asciiTheme="minorHAnsi" w:hAnsiTheme="minorHAnsi"/>
        </w:rPr>
        <w:t xml:space="preserve">%, odnosno </w:t>
      </w:r>
      <w:r w:rsidR="00B94023">
        <w:rPr>
          <w:rFonts w:asciiTheme="minorHAnsi" w:hAnsiTheme="minorHAnsi"/>
        </w:rPr>
        <w:t>6.886.882</w:t>
      </w:r>
      <w:r w:rsidRPr="00C5075D">
        <w:rPr>
          <w:rFonts w:asciiTheme="minorHAnsi" w:hAnsiTheme="minorHAnsi"/>
        </w:rPr>
        <w:t xml:space="preserve"> kn većem u odnosu na prethodnu godinu. Ukupni rashodi izdaci  iskazani na AOP – 630  za </w:t>
      </w:r>
      <w:r w:rsidR="00B94023">
        <w:rPr>
          <w:rFonts w:asciiTheme="minorHAnsi" w:hAnsiTheme="minorHAnsi"/>
        </w:rPr>
        <w:t>4,</w:t>
      </w:r>
      <w:proofErr w:type="spellStart"/>
      <w:r w:rsidR="00B94023">
        <w:rPr>
          <w:rFonts w:asciiTheme="minorHAnsi" w:hAnsiTheme="minorHAnsi"/>
        </w:rPr>
        <w:t>4</w:t>
      </w:r>
      <w:proofErr w:type="spellEnd"/>
      <w:r w:rsidRPr="00C5075D">
        <w:rPr>
          <w:rFonts w:asciiTheme="minorHAnsi" w:hAnsiTheme="minorHAnsi"/>
        </w:rPr>
        <w:t xml:space="preserve">%  odnosno za </w:t>
      </w:r>
      <w:r w:rsidR="00B94023">
        <w:rPr>
          <w:rFonts w:asciiTheme="minorHAnsi" w:hAnsiTheme="minorHAnsi"/>
        </w:rPr>
        <w:t>4.934.662</w:t>
      </w:r>
      <w:r w:rsidRPr="00C5075D">
        <w:rPr>
          <w:rFonts w:asciiTheme="minorHAnsi" w:hAnsiTheme="minorHAnsi"/>
        </w:rPr>
        <w:t xml:space="preserve"> kn većem iznosu u odnosu na isto razdoblje 201</w:t>
      </w:r>
      <w:r w:rsidR="00B94023">
        <w:rPr>
          <w:rFonts w:asciiTheme="minorHAnsi" w:hAnsiTheme="minorHAnsi"/>
        </w:rPr>
        <w:t>8</w:t>
      </w:r>
      <w:r w:rsidRPr="00C5075D">
        <w:rPr>
          <w:rFonts w:asciiTheme="minorHAnsi" w:hAnsiTheme="minorHAnsi"/>
        </w:rPr>
        <w:t>. godine.</w:t>
      </w:r>
    </w:p>
    <w:p w14:paraId="6BDF51AA" w14:textId="422D7F56" w:rsidR="00C5075D" w:rsidRPr="00C5075D" w:rsidRDefault="00C5075D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ab/>
        <w:t>AOP 63</w:t>
      </w:r>
      <w:r w:rsidR="00B6614B">
        <w:rPr>
          <w:rFonts w:asciiTheme="minorHAnsi" w:hAnsiTheme="minorHAnsi"/>
        </w:rPr>
        <w:t>2</w:t>
      </w:r>
      <w:r w:rsidRPr="00C5075D">
        <w:rPr>
          <w:rFonts w:asciiTheme="minorHAnsi" w:hAnsiTheme="minorHAnsi"/>
        </w:rPr>
        <w:t xml:space="preserve"> – </w:t>
      </w:r>
      <w:r w:rsidR="00B6614B">
        <w:rPr>
          <w:rFonts w:asciiTheme="minorHAnsi" w:hAnsiTheme="minorHAnsi"/>
        </w:rPr>
        <w:t>manjak</w:t>
      </w:r>
      <w:r w:rsidRPr="00C5075D">
        <w:rPr>
          <w:rFonts w:asciiTheme="minorHAnsi" w:hAnsiTheme="minorHAnsi"/>
        </w:rPr>
        <w:t xml:space="preserve"> prihoda i primitaka iznosi </w:t>
      </w:r>
      <w:r w:rsidR="00B94023">
        <w:rPr>
          <w:rFonts w:asciiTheme="minorHAnsi" w:hAnsiTheme="minorHAnsi"/>
        </w:rPr>
        <w:t>2.991.016</w:t>
      </w:r>
      <w:r w:rsidRPr="00C5075D">
        <w:rPr>
          <w:rFonts w:asciiTheme="minorHAnsi" w:hAnsiTheme="minorHAnsi"/>
        </w:rPr>
        <w:t xml:space="preserve"> kn </w:t>
      </w:r>
      <w:r w:rsidR="00B6614B">
        <w:rPr>
          <w:rFonts w:asciiTheme="minorHAnsi" w:hAnsiTheme="minorHAnsi"/>
        </w:rPr>
        <w:t>i smanjen je u odnosu na 201</w:t>
      </w:r>
      <w:r w:rsidR="00B94023">
        <w:rPr>
          <w:rFonts w:asciiTheme="minorHAnsi" w:hAnsiTheme="minorHAnsi"/>
        </w:rPr>
        <w:t>8</w:t>
      </w:r>
      <w:r w:rsidR="00B6614B">
        <w:rPr>
          <w:rFonts w:asciiTheme="minorHAnsi" w:hAnsiTheme="minorHAnsi"/>
        </w:rPr>
        <w:t xml:space="preserve">. godinu za </w:t>
      </w:r>
      <w:r w:rsidR="00B94023">
        <w:rPr>
          <w:rFonts w:asciiTheme="minorHAnsi" w:hAnsiTheme="minorHAnsi"/>
        </w:rPr>
        <w:t>35,5</w:t>
      </w:r>
      <w:r w:rsidR="00B6614B">
        <w:rPr>
          <w:rFonts w:asciiTheme="minorHAnsi" w:hAnsiTheme="minorHAnsi"/>
        </w:rPr>
        <w:t xml:space="preserve"> % odnosno </w:t>
      </w:r>
      <w:r w:rsidR="00B94023">
        <w:rPr>
          <w:rFonts w:asciiTheme="minorHAnsi" w:hAnsiTheme="minorHAnsi"/>
        </w:rPr>
        <w:t>1.952.220</w:t>
      </w:r>
      <w:r w:rsidR="00B6614B">
        <w:rPr>
          <w:rFonts w:asciiTheme="minorHAnsi" w:hAnsiTheme="minorHAnsi"/>
        </w:rPr>
        <w:t xml:space="preserve"> </w:t>
      </w:r>
      <w:r w:rsidR="00A70ED0">
        <w:rPr>
          <w:rFonts w:asciiTheme="minorHAnsi" w:hAnsiTheme="minorHAnsi"/>
        </w:rPr>
        <w:t xml:space="preserve">kn, </w:t>
      </w:r>
      <w:r w:rsidR="00B6614B">
        <w:rPr>
          <w:rFonts w:asciiTheme="minorHAnsi" w:hAnsiTheme="minorHAnsi"/>
        </w:rPr>
        <w:t xml:space="preserve">a </w:t>
      </w:r>
      <w:r w:rsidRPr="00C5075D">
        <w:rPr>
          <w:rFonts w:asciiTheme="minorHAnsi" w:hAnsiTheme="minorHAnsi"/>
        </w:rPr>
        <w:t xml:space="preserve"> rezultat je </w:t>
      </w:r>
      <w:r w:rsidR="00A70ED0">
        <w:rPr>
          <w:rFonts w:asciiTheme="minorHAnsi" w:hAnsiTheme="minorHAnsi"/>
        </w:rPr>
        <w:t xml:space="preserve">boljeg izvršenja ugovora s HZZO </w:t>
      </w:r>
      <w:r w:rsidRPr="00C5075D">
        <w:rPr>
          <w:rFonts w:asciiTheme="minorHAnsi" w:hAnsiTheme="minorHAnsi"/>
        </w:rPr>
        <w:t xml:space="preserve"> </w:t>
      </w:r>
      <w:r w:rsidR="00A70ED0">
        <w:rPr>
          <w:rFonts w:asciiTheme="minorHAnsi" w:hAnsiTheme="minorHAnsi"/>
        </w:rPr>
        <w:t>odnosno ostvarenih većih prihoda</w:t>
      </w:r>
      <w:r w:rsidRPr="00C5075D">
        <w:rPr>
          <w:rFonts w:asciiTheme="minorHAnsi" w:hAnsiTheme="minorHAnsi"/>
        </w:rPr>
        <w:t xml:space="preserve">. </w:t>
      </w:r>
    </w:p>
    <w:p w14:paraId="714CC6F7" w14:textId="075DC102" w:rsidR="00C5075D" w:rsidRPr="00C5075D" w:rsidRDefault="00C5075D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ab/>
        <w:t>AOP 636 – manjak prihoda i primitaka za pokriće u slijedećem razdoblju</w:t>
      </w:r>
      <w:r w:rsidR="00A70ED0">
        <w:rPr>
          <w:rFonts w:asciiTheme="minorHAnsi" w:hAnsiTheme="minorHAnsi"/>
        </w:rPr>
        <w:t xml:space="preserve"> iznosi </w:t>
      </w:r>
      <w:r w:rsidR="00B94023">
        <w:rPr>
          <w:rFonts w:asciiTheme="minorHAnsi" w:hAnsiTheme="minorHAnsi"/>
        </w:rPr>
        <w:t>32.087.152</w:t>
      </w:r>
      <w:r w:rsidR="00A70ED0">
        <w:rPr>
          <w:rFonts w:asciiTheme="minorHAnsi" w:hAnsiTheme="minorHAnsi"/>
        </w:rPr>
        <w:t xml:space="preserve"> kuna</w:t>
      </w:r>
      <w:r w:rsidRPr="00C5075D">
        <w:rPr>
          <w:rFonts w:asciiTheme="minorHAnsi" w:hAnsiTheme="minorHAnsi"/>
        </w:rPr>
        <w:t>.</w:t>
      </w:r>
    </w:p>
    <w:p w14:paraId="5A97342D" w14:textId="77777777" w:rsidR="009D6AEF" w:rsidRPr="00C5075D" w:rsidRDefault="009D6AEF" w:rsidP="008A554D">
      <w:pPr>
        <w:jc w:val="both"/>
        <w:rPr>
          <w:rFonts w:asciiTheme="minorHAnsi" w:hAnsiTheme="minorHAnsi"/>
        </w:rPr>
      </w:pPr>
    </w:p>
    <w:p w14:paraId="6C1F7E18" w14:textId="77777777" w:rsidR="009D6AEF" w:rsidRDefault="009D6AEF" w:rsidP="008A554D">
      <w:pPr>
        <w:jc w:val="both"/>
        <w:rPr>
          <w:rFonts w:asciiTheme="minorHAnsi" w:hAnsiTheme="minorHAnsi"/>
        </w:rPr>
      </w:pPr>
    </w:p>
    <w:p w14:paraId="667AD643" w14:textId="77777777" w:rsidR="00CD0A52" w:rsidRDefault="00CD0A52" w:rsidP="008A554D">
      <w:pPr>
        <w:jc w:val="both"/>
        <w:rPr>
          <w:rFonts w:asciiTheme="minorHAnsi" w:hAnsiTheme="minorHAnsi"/>
        </w:rPr>
      </w:pPr>
    </w:p>
    <w:p w14:paraId="117AC83F" w14:textId="77777777" w:rsidR="00CD0A52" w:rsidRDefault="00CD0A52" w:rsidP="008A554D">
      <w:pPr>
        <w:jc w:val="both"/>
        <w:rPr>
          <w:rFonts w:asciiTheme="minorHAnsi" w:hAnsiTheme="minorHAnsi"/>
        </w:rPr>
      </w:pPr>
    </w:p>
    <w:p w14:paraId="2E60CEB0" w14:textId="77777777" w:rsidR="00CD0A52" w:rsidRPr="00C5075D" w:rsidRDefault="00CD0A52" w:rsidP="009D6AEF">
      <w:pPr>
        <w:rPr>
          <w:rFonts w:asciiTheme="minorHAnsi" w:hAnsiTheme="minorHAnsi"/>
        </w:rPr>
      </w:pPr>
    </w:p>
    <w:p w14:paraId="0F354333" w14:textId="77777777" w:rsidR="009D6AEF" w:rsidRPr="00C5075D" w:rsidRDefault="009D6AEF" w:rsidP="009D6AEF">
      <w:pPr>
        <w:rPr>
          <w:rFonts w:asciiTheme="minorHAnsi" w:hAnsiTheme="minorHAnsi"/>
        </w:rPr>
      </w:pPr>
    </w:p>
    <w:p w14:paraId="095FC556" w14:textId="77777777" w:rsidR="009D6AEF" w:rsidRPr="00C5075D" w:rsidRDefault="009D6AEF" w:rsidP="009D6AEF">
      <w:pPr>
        <w:rPr>
          <w:rFonts w:asciiTheme="minorHAnsi" w:hAnsiTheme="minorHAnsi"/>
        </w:rPr>
      </w:pPr>
    </w:p>
    <w:p w14:paraId="3A22247F" w14:textId="77777777" w:rsidR="009D6AEF" w:rsidRPr="00C5075D" w:rsidRDefault="009D6AEF" w:rsidP="009D6AEF">
      <w:pPr>
        <w:rPr>
          <w:rFonts w:asciiTheme="minorHAnsi" w:hAnsiTheme="minorHAnsi"/>
        </w:rPr>
      </w:pPr>
    </w:p>
    <w:p w14:paraId="4ADEF514" w14:textId="77777777" w:rsidR="009D6AEF" w:rsidRPr="00C5075D" w:rsidRDefault="009D6AEF" w:rsidP="009D6AEF">
      <w:pPr>
        <w:rPr>
          <w:rFonts w:asciiTheme="minorHAnsi" w:hAnsiTheme="minorHAnsi"/>
        </w:rPr>
      </w:pPr>
    </w:p>
    <w:p w14:paraId="666CCB0B" w14:textId="77777777" w:rsidR="009D6AEF" w:rsidRDefault="009D6AEF" w:rsidP="009D6AEF">
      <w:pPr>
        <w:rPr>
          <w:rFonts w:asciiTheme="minorHAnsi" w:hAnsiTheme="minorHAnsi"/>
        </w:rPr>
      </w:pPr>
    </w:p>
    <w:p w14:paraId="7924D208" w14:textId="77777777" w:rsidR="004D3C98" w:rsidRDefault="004D3C98" w:rsidP="009D6AEF">
      <w:pPr>
        <w:rPr>
          <w:rFonts w:asciiTheme="minorHAnsi" w:hAnsiTheme="minorHAnsi"/>
        </w:rPr>
      </w:pPr>
    </w:p>
    <w:p w14:paraId="149A8474" w14:textId="77777777" w:rsidR="004D3C98" w:rsidRPr="00C5075D" w:rsidRDefault="004D3C98" w:rsidP="009D6AEF">
      <w:pPr>
        <w:rPr>
          <w:rFonts w:asciiTheme="minorHAnsi" w:hAnsiTheme="minorHAnsi"/>
        </w:rPr>
      </w:pPr>
    </w:p>
    <w:p w14:paraId="143E01C9" w14:textId="696F57DC" w:rsidR="009D6AEF" w:rsidRPr="00C5075D" w:rsidRDefault="009D6AEF" w:rsidP="00087416">
      <w:pPr>
        <w:jc w:val="center"/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>BILJEŠKE UZ IZVJEŠTAJ O PROMJENAMA  U VRIJEDNOSTI</w:t>
      </w:r>
    </w:p>
    <w:p w14:paraId="29D74035" w14:textId="324C4386" w:rsidR="009D6AEF" w:rsidRPr="00C5075D" w:rsidRDefault="009D6AEF" w:rsidP="00087416">
      <w:pPr>
        <w:jc w:val="center"/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>OBUJMU IMOVINE I OBVEZA ZA RAZDOBLJE</w:t>
      </w:r>
    </w:p>
    <w:p w14:paraId="41C6EFF8" w14:textId="1E4A4060" w:rsidR="009D6AEF" w:rsidRPr="00C5075D" w:rsidRDefault="009D6AEF" w:rsidP="00087416">
      <w:pPr>
        <w:jc w:val="center"/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>01.01.201</w:t>
      </w:r>
      <w:r w:rsidR="00B1418C">
        <w:rPr>
          <w:rFonts w:asciiTheme="minorHAnsi" w:hAnsiTheme="minorHAnsi"/>
          <w:b/>
        </w:rPr>
        <w:t>9</w:t>
      </w:r>
      <w:r w:rsidRPr="00C5075D">
        <w:rPr>
          <w:rFonts w:asciiTheme="minorHAnsi" w:hAnsiTheme="minorHAnsi"/>
          <w:b/>
        </w:rPr>
        <w:t>.  –  31.12.201</w:t>
      </w:r>
      <w:r w:rsidR="00B1418C">
        <w:rPr>
          <w:rFonts w:asciiTheme="minorHAnsi" w:hAnsiTheme="minorHAnsi"/>
          <w:b/>
        </w:rPr>
        <w:t>9</w:t>
      </w:r>
      <w:r w:rsidRPr="00C5075D">
        <w:rPr>
          <w:rFonts w:asciiTheme="minorHAnsi" w:hAnsiTheme="minorHAnsi"/>
          <w:b/>
        </w:rPr>
        <w:t>.  GODINE</w:t>
      </w:r>
    </w:p>
    <w:p w14:paraId="07F0D836" w14:textId="77777777" w:rsidR="009D6AEF" w:rsidRPr="00C5075D" w:rsidRDefault="009D6AEF" w:rsidP="009D6AEF">
      <w:pPr>
        <w:jc w:val="center"/>
        <w:rPr>
          <w:rFonts w:asciiTheme="minorHAnsi" w:hAnsiTheme="minorHAnsi"/>
          <w:b/>
        </w:rPr>
      </w:pPr>
    </w:p>
    <w:p w14:paraId="3DA33E4C" w14:textId="77777777" w:rsidR="009D6AEF" w:rsidRPr="00C5075D" w:rsidRDefault="009D6AEF" w:rsidP="009D6AEF">
      <w:pPr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 xml:space="preserve">                                              </w:t>
      </w:r>
    </w:p>
    <w:p w14:paraId="2F80DB5A" w14:textId="77777777" w:rsidR="009D6AEF" w:rsidRPr="00C5075D" w:rsidRDefault="009D6AEF" w:rsidP="009D6AEF">
      <w:pPr>
        <w:rPr>
          <w:rFonts w:asciiTheme="minorHAnsi" w:hAnsiTheme="minorHAnsi"/>
          <w:b/>
        </w:rPr>
      </w:pPr>
    </w:p>
    <w:p w14:paraId="7D6BCAA2" w14:textId="77777777" w:rsidR="009D6AEF" w:rsidRPr="00C5075D" w:rsidRDefault="009D6AEF" w:rsidP="009D6AEF">
      <w:pPr>
        <w:rPr>
          <w:rFonts w:asciiTheme="minorHAnsi" w:hAnsiTheme="minorHAnsi"/>
          <w:b/>
        </w:rPr>
      </w:pPr>
    </w:p>
    <w:p w14:paraId="4A85DA70" w14:textId="1B00519A" w:rsidR="006228D1" w:rsidRPr="00C5075D" w:rsidRDefault="006228D1" w:rsidP="006228D1">
      <w:pPr>
        <w:rPr>
          <w:rFonts w:asciiTheme="minorHAnsi" w:hAnsiTheme="minorHAnsi"/>
          <w:b/>
          <w:i/>
        </w:rPr>
      </w:pPr>
      <w:r w:rsidRPr="00C5075D">
        <w:rPr>
          <w:rFonts w:asciiTheme="minorHAnsi" w:hAnsiTheme="minorHAnsi"/>
          <w:b/>
          <w:i/>
        </w:rPr>
        <w:t>Povećanje  u vrijednosti i obujmu imovine</w:t>
      </w:r>
    </w:p>
    <w:p w14:paraId="0C19E5EA" w14:textId="77777777" w:rsidR="006228D1" w:rsidRPr="00C5075D" w:rsidRDefault="006228D1" w:rsidP="006228D1">
      <w:pPr>
        <w:rPr>
          <w:rFonts w:asciiTheme="minorHAnsi" w:hAnsiTheme="minorHAnsi"/>
          <w:b/>
          <w:i/>
        </w:rPr>
      </w:pPr>
    </w:p>
    <w:p w14:paraId="4C048CAE" w14:textId="12A1E9F6" w:rsidR="002C4AE0" w:rsidRDefault="006228D1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 xml:space="preserve">Na povećanje vrijednosti i obujma imovine iskazanog na AOP – 001 utjecao je </w:t>
      </w:r>
      <w:r w:rsidR="002C4AE0">
        <w:rPr>
          <w:rFonts w:asciiTheme="minorHAnsi" w:hAnsiTheme="minorHAnsi"/>
        </w:rPr>
        <w:t>rast tržišne vrijednosti  dionica sukladno podacima Središnjeg klirinškog depozitarnog društva na dan 31.12.2019.godine</w:t>
      </w:r>
      <w:r w:rsidR="00277A9C">
        <w:rPr>
          <w:rFonts w:asciiTheme="minorHAnsi" w:hAnsiTheme="minorHAnsi"/>
        </w:rPr>
        <w:t xml:space="preserve">, </w:t>
      </w:r>
      <w:r w:rsidR="00CD0A52">
        <w:rPr>
          <w:rFonts w:asciiTheme="minorHAnsi" w:hAnsiTheme="minorHAnsi"/>
        </w:rPr>
        <w:t>z</w:t>
      </w:r>
      <w:r w:rsidR="00277A9C">
        <w:rPr>
          <w:rFonts w:asciiTheme="minorHAnsi" w:hAnsiTheme="minorHAnsi"/>
        </w:rPr>
        <w:t>a</w:t>
      </w:r>
      <w:r w:rsidR="002C4AE0">
        <w:rPr>
          <w:rFonts w:asciiTheme="minorHAnsi" w:hAnsiTheme="minorHAnsi"/>
        </w:rPr>
        <w:t xml:space="preserve"> </w:t>
      </w:r>
      <w:r w:rsidR="00CD0A52">
        <w:rPr>
          <w:rFonts w:asciiTheme="minorHAnsi" w:hAnsiTheme="minorHAnsi"/>
        </w:rPr>
        <w:t>20 dionica Croatia osiguranja i 929 dionica PBZ d.d.  koje</w:t>
      </w:r>
      <w:r w:rsidR="002C4AE0">
        <w:rPr>
          <w:rFonts w:asciiTheme="minorHAnsi" w:hAnsiTheme="minorHAnsi"/>
        </w:rPr>
        <w:t xml:space="preserve"> bolnica </w:t>
      </w:r>
      <w:r w:rsidR="00CD0A52">
        <w:rPr>
          <w:rFonts w:asciiTheme="minorHAnsi" w:hAnsiTheme="minorHAnsi"/>
        </w:rPr>
        <w:t>ima u svom vlasništvu.</w:t>
      </w:r>
    </w:p>
    <w:p w14:paraId="3D258947" w14:textId="77777777" w:rsidR="006228D1" w:rsidRPr="00C5075D" w:rsidRDefault="006228D1" w:rsidP="006228D1">
      <w:pPr>
        <w:rPr>
          <w:rFonts w:asciiTheme="minorHAnsi" w:hAnsiTheme="minorHAnsi"/>
        </w:rPr>
      </w:pPr>
    </w:p>
    <w:p w14:paraId="64104F85" w14:textId="77777777" w:rsidR="006228D1" w:rsidRPr="00C5075D" w:rsidRDefault="006228D1" w:rsidP="006228D1">
      <w:pPr>
        <w:rPr>
          <w:rFonts w:asciiTheme="minorHAnsi" w:hAnsiTheme="minorHAnsi"/>
        </w:rPr>
      </w:pPr>
    </w:p>
    <w:p w14:paraId="60C77C47" w14:textId="2CDA316E" w:rsidR="006228D1" w:rsidRDefault="006228D1" w:rsidP="006228D1">
      <w:pPr>
        <w:rPr>
          <w:rFonts w:asciiTheme="minorHAnsi" w:hAnsiTheme="minorHAnsi"/>
          <w:b/>
          <w:i/>
        </w:rPr>
      </w:pPr>
      <w:r w:rsidRPr="00C5075D">
        <w:rPr>
          <w:rFonts w:asciiTheme="minorHAnsi" w:hAnsiTheme="minorHAnsi"/>
          <w:b/>
          <w:i/>
        </w:rPr>
        <w:t>Smanjenje u vrijednosti i obujmu imovine</w:t>
      </w:r>
    </w:p>
    <w:p w14:paraId="6E13135D" w14:textId="77777777" w:rsidR="00AB4F1B" w:rsidRPr="00C5075D" w:rsidRDefault="00AB4F1B" w:rsidP="006228D1">
      <w:pPr>
        <w:rPr>
          <w:rFonts w:asciiTheme="minorHAnsi" w:hAnsiTheme="minorHAnsi"/>
          <w:b/>
          <w:i/>
        </w:rPr>
      </w:pPr>
    </w:p>
    <w:p w14:paraId="5FF79D43" w14:textId="0C184918" w:rsidR="006228D1" w:rsidRDefault="00803DE2" w:rsidP="008A554D">
      <w:pPr>
        <w:jc w:val="both"/>
        <w:rPr>
          <w:rFonts w:asciiTheme="minorHAnsi" w:hAnsiTheme="minorHAnsi"/>
        </w:rPr>
      </w:pPr>
      <w:r w:rsidRPr="00803DE2">
        <w:rPr>
          <w:rFonts w:asciiTheme="minorHAnsi" w:hAnsiTheme="minorHAnsi"/>
        </w:rPr>
        <w:t xml:space="preserve">Na smanjenje vrijednosti i obujma imovine iskazanog na AOP – 001 </w:t>
      </w:r>
      <w:r>
        <w:rPr>
          <w:rFonts w:asciiTheme="minorHAnsi" w:hAnsiTheme="minorHAnsi"/>
        </w:rPr>
        <w:t>u</w:t>
      </w:r>
      <w:r w:rsidRPr="00803DE2">
        <w:rPr>
          <w:rFonts w:asciiTheme="minorHAnsi" w:hAnsiTheme="minorHAnsi"/>
        </w:rPr>
        <w:t xml:space="preserve">tjecalo je  </w:t>
      </w:r>
    </w:p>
    <w:p w14:paraId="7D6D2995" w14:textId="555AC4B2" w:rsidR="00803DE2" w:rsidRPr="00AB4F1B" w:rsidRDefault="00277A9C" w:rsidP="008A55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6228D1" w:rsidRPr="00AB4F1B">
        <w:rPr>
          <w:rFonts w:asciiTheme="minorHAnsi" w:hAnsiTheme="minorHAnsi"/>
        </w:rPr>
        <w:t xml:space="preserve">manjenje </w:t>
      </w:r>
      <w:r w:rsidR="00BE146C" w:rsidRPr="00AB4F1B">
        <w:rPr>
          <w:rFonts w:asciiTheme="minorHAnsi" w:hAnsiTheme="minorHAnsi"/>
        </w:rPr>
        <w:t>obujma imovine</w:t>
      </w:r>
      <w:r w:rsidR="006228D1" w:rsidRPr="00AB4F1B">
        <w:rPr>
          <w:rFonts w:asciiTheme="minorHAnsi" w:hAnsiTheme="minorHAnsi"/>
        </w:rPr>
        <w:t xml:space="preserve"> zbog rashoda </w:t>
      </w:r>
      <w:r>
        <w:rPr>
          <w:rFonts w:asciiTheme="minorHAnsi" w:hAnsiTheme="minorHAnsi"/>
        </w:rPr>
        <w:t xml:space="preserve">proizvedene dugotrajne imovine iskazano na AOP 021, rashoda </w:t>
      </w:r>
      <w:r w:rsidR="00BE146C" w:rsidRPr="00AB4F1B">
        <w:rPr>
          <w:rFonts w:asciiTheme="minorHAnsi" w:hAnsiTheme="minorHAnsi"/>
        </w:rPr>
        <w:t>sitnog inventara</w:t>
      </w:r>
      <w:r w:rsidR="00803DE2" w:rsidRPr="00AB4F1B">
        <w:rPr>
          <w:rFonts w:asciiTheme="minorHAnsi" w:hAnsiTheme="minorHAnsi"/>
        </w:rPr>
        <w:t xml:space="preserve"> iskazano na AOP 23</w:t>
      </w:r>
      <w:r>
        <w:rPr>
          <w:rFonts w:asciiTheme="minorHAnsi" w:hAnsiTheme="minorHAnsi"/>
        </w:rPr>
        <w:t xml:space="preserve">, </w:t>
      </w:r>
      <w:r w:rsidR="009A09FB">
        <w:rPr>
          <w:rFonts w:asciiTheme="minorHAnsi" w:hAnsiTheme="minorHAnsi"/>
        </w:rPr>
        <w:t>otpis</w:t>
      </w:r>
      <w:r>
        <w:rPr>
          <w:rFonts w:asciiTheme="minorHAnsi" w:hAnsiTheme="minorHAnsi"/>
        </w:rPr>
        <w:t>a</w:t>
      </w:r>
      <w:r w:rsidR="009A09FB">
        <w:rPr>
          <w:rFonts w:asciiTheme="minorHAnsi" w:hAnsiTheme="minorHAnsi"/>
        </w:rPr>
        <w:t xml:space="preserve"> </w:t>
      </w:r>
      <w:r w:rsidR="00803DE2" w:rsidRPr="00AB4F1B">
        <w:rPr>
          <w:rFonts w:asciiTheme="minorHAnsi" w:hAnsiTheme="minorHAnsi"/>
        </w:rPr>
        <w:t xml:space="preserve">potraživanja za  </w:t>
      </w:r>
      <w:r>
        <w:rPr>
          <w:rFonts w:asciiTheme="minorHAnsi" w:hAnsiTheme="minorHAnsi"/>
        </w:rPr>
        <w:t>sudjelovanje u troškovnima zdravstvene zaštite (</w:t>
      </w:r>
      <w:r w:rsidR="00803DE2" w:rsidRPr="00AB4F1B">
        <w:rPr>
          <w:rFonts w:asciiTheme="minorHAnsi" w:hAnsiTheme="minorHAnsi"/>
        </w:rPr>
        <w:t>participacije</w:t>
      </w:r>
      <w:r>
        <w:rPr>
          <w:rFonts w:asciiTheme="minorHAnsi" w:hAnsiTheme="minorHAnsi"/>
        </w:rPr>
        <w:t xml:space="preserve">) </w:t>
      </w:r>
      <w:r w:rsidR="00803DE2" w:rsidRPr="00AB4F1B">
        <w:rPr>
          <w:rFonts w:asciiTheme="minorHAnsi" w:hAnsiTheme="minorHAnsi"/>
        </w:rPr>
        <w:t>pacijenata  od kojih nije</w:t>
      </w:r>
      <w:bookmarkStart w:id="0" w:name="_Hlk504642021"/>
      <w:r w:rsidR="00AB4F1B">
        <w:rPr>
          <w:rFonts w:asciiTheme="minorHAnsi" w:hAnsiTheme="minorHAnsi"/>
        </w:rPr>
        <w:t xml:space="preserve"> </w:t>
      </w:r>
      <w:bookmarkEnd w:id="0"/>
      <w:r w:rsidR="00803DE2" w:rsidRPr="00AB4F1B">
        <w:rPr>
          <w:rFonts w:asciiTheme="minorHAnsi" w:hAnsiTheme="minorHAnsi"/>
        </w:rPr>
        <w:t>moguće naplatiti nastale troškove, s obzirom na njihov zdravstveni i</w:t>
      </w:r>
      <w:r w:rsidR="00AB4F1B" w:rsidRPr="00AB4F1B">
        <w:rPr>
          <w:rFonts w:asciiTheme="minorHAnsi" w:hAnsiTheme="minorHAnsi"/>
        </w:rPr>
        <w:t xml:space="preserve"> </w:t>
      </w:r>
      <w:r w:rsidR="00803DE2" w:rsidRPr="00AB4F1B">
        <w:rPr>
          <w:rFonts w:asciiTheme="minorHAnsi" w:hAnsiTheme="minorHAnsi"/>
        </w:rPr>
        <w:t>socijalni status</w:t>
      </w:r>
      <w:r w:rsidR="00AB4F1B">
        <w:rPr>
          <w:rFonts w:asciiTheme="minorHAnsi" w:hAnsiTheme="minorHAnsi"/>
        </w:rPr>
        <w:t xml:space="preserve"> iskazano na AOP 032</w:t>
      </w:r>
      <w:r>
        <w:rPr>
          <w:rFonts w:asciiTheme="minorHAnsi" w:hAnsiTheme="minorHAnsi"/>
        </w:rPr>
        <w:t>.</w:t>
      </w:r>
      <w:r w:rsidR="00AB4F1B">
        <w:rPr>
          <w:rFonts w:asciiTheme="minorHAnsi" w:hAnsiTheme="minorHAnsi"/>
        </w:rPr>
        <w:t xml:space="preserve"> </w:t>
      </w:r>
      <w:r w:rsidR="00AB4F1B" w:rsidRPr="00AB4F1B">
        <w:rPr>
          <w:rFonts w:asciiTheme="minorHAnsi" w:hAnsiTheme="minorHAnsi"/>
        </w:rPr>
        <w:t xml:space="preserve"> </w:t>
      </w:r>
    </w:p>
    <w:p w14:paraId="5FE1435F" w14:textId="77777777" w:rsidR="00803DE2" w:rsidRPr="00AB4F1B" w:rsidRDefault="00803DE2" w:rsidP="00803DE2">
      <w:pPr>
        <w:rPr>
          <w:rFonts w:asciiTheme="minorHAnsi" w:hAnsiTheme="minorHAnsi"/>
        </w:rPr>
      </w:pPr>
    </w:p>
    <w:p w14:paraId="417A6BC4" w14:textId="77777777" w:rsidR="009D6AEF" w:rsidRPr="00AB4F1B" w:rsidRDefault="009D6AEF" w:rsidP="009D6AEF">
      <w:pPr>
        <w:rPr>
          <w:rFonts w:asciiTheme="minorHAnsi" w:hAnsiTheme="minorHAnsi"/>
          <w:b/>
        </w:rPr>
      </w:pPr>
    </w:p>
    <w:p w14:paraId="1085265B" w14:textId="77777777" w:rsidR="009D6AEF" w:rsidRPr="00C5075D" w:rsidRDefault="009D6AEF" w:rsidP="009D6AEF">
      <w:pPr>
        <w:rPr>
          <w:rFonts w:asciiTheme="minorHAnsi" w:hAnsiTheme="minorHAnsi"/>
          <w:b/>
        </w:rPr>
      </w:pPr>
    </w:p>
    <w:p w14:paraId="5F1D36F7" w14:textId="77777777" w:rsidR="009D6AEF" w:rsidRPr="00C5075D" w:rsidRDefault="009D6AEF" w:rsidP="009D6AEF">
      <w:pPr>
        <w:rPr>
          <w:rFonts w:asciiTheme="minorHAnsi" w:hAnsiTheme="minorHAnsi"/>
          <w:b/>
        </w:rPr>
      </w:pPr>
    </w:p>
    <w:p w14:paraId="7ED28DA0" w14:textId="77777777" w:rsidR="009D6AEF" w:rsidRPr="00C5075D" w:rsidRDefault="009D6AEF" w:rsidP="009D6AEF">
      <w:pPr>
        <w:rPr>
          <w:rFonts w:asciiTheme="minorHAnsi" w:hAnsiTheme="minorHAnsi"/>
          <w:b/>
        </w:rPr>
      </w:pPr>
    </w:p>
    <w:p w14:paraId="284634BA" w14:textId="77777777" w:rsidR="0068203C" w:rsidRDefault="0068203C" w:rsidP="0068203C">
      <w:pPr>
        <w:jc w:val="center"/>
        <w:rPr>
          <w:rFonts w:asciiTheme="minorHAnsi" w:hAnsiTheme="minorHAnsi"/>
          <w:b/>
        </w:rPr>
      </w:pPr>
      <w:r w:rsidRPr="009D6AEF">
        <w:rPr>
          <w:rFonts w:asciiTheme="minorHAnsi" w:hAnsiTheme="minorHAnsi"/>
          <w:b/>
        </w:rPr>
        <w:t>BILJEŠKE</w:t>
      </w:r>
      <w:r w:rsidRPr="009D6AEF">
        <w:rPr>
          <w:rFonts w:asciiTheme="minorHAnsi" w:hAnsiTheme="minorHAnsi"/>
        </w:rPr>
        <w:t xml:space="preserve"> </w:t>
      </w:r>
      <w:r w:rsidRPr="009D6AEF">
        <w:rPr>
          <w:rFonts w:asciiTheme="minorHAnsi" w:hAnsiTheme="minorHAnsi"/>
          <w:b/>
        </w:rPr>
        <w:t xml:space="preserve">UZ IZVJEŠTAJ O RASHODIMA,  </w:t>
      </w:r>
      <w:r>
        <w:rPr>
          <w:rFonts w:asciiTheme="minorHAnsi" w:hAnsiTheme="minorHAnsi"/>
          <w:b/>
        </w:rPr>
        <w:t>PREMA FUNKCIJSKOJ KLASIFIKACIJI</w:t>
      </w:r>
    </w:p>
    <w:p w14:paraId="6E90228A" w14:textId="286193F8" w:rsidR="009D6AEF" w:rsidRPr="00C5075D" w:rsidRDefault="0068203C" w:rsidP="0068203C">
      <w:pPr>
        <w:jc w:val="center"/>
        <w:rPr>
          <w:rFonts w:asciiTheme="minorHAnsi" w:hAnsiTheme="minorHAnsi"/>
          <w:b/>
        </w:rPr>
      </w:pPr>
      <w:r w:rsidRPr="009D6AEF">
        <w:rPr>
          <w:rFonts w:asciiTheme="minorHAnsi" w:hAnsiTheme="minorHAnsi"/>
          <w:b/>
        </w:rPr>
        <w:t xml:space="preserve">  01.01. 201</w:t>
      </w:r>
      <w:r>
        <w:rPr>
          <w:rFonts w:asciiTheme="minorHAnsi" w:hAnsiTheme="minorHAnsi"/>
          <w:b/>
        </w:rPr>
        <w:t>9</w:t>
      </w:r>
      <w:r w:rsidRPr="009D6AEF">
        <w:rPr>
          <w:rFonts w:asciiTheme="minorHAnsi" w:hAnsiTheme="minorHAnsi"/>
          <w:b/>
        </w:rPr>
        <w:t>.  -  31.12. 201</w:t>
      </w:r>
      <w:r>
        <w:rPr>
          <w:rFonts w:asciiTheme="minorHAnsi" w:hAnsiTheme="minorHAnsi"/>
          <w:b/>
        </w:rPr>
        <w:t>9</w:t>
      </w:r>
    </w:p>
    <w:p w14:paraId="2A8A0C3C" w14:textId="77777777" w:rsidR="009D6AEF" w:rsidRDefault="009D6AEF" w:rsidP="009D6AEF">
      <w:pPr>
        <w:rPr>
          <w:rFonts w:asciiTheme="minorHAnsi" w:hAnsiTheme="minorHAnsi"/>
          <w:b/>
        </w:rPr>
      </w:pPr>
    </w:p>
    <w:p w14:paraId="4276671D" w14:textId="77777777" w:rsidR="0068203C" w:rsidRDefault="0068203C" w:rsidP="009D6AEF">
      <w:pPr>
        <w:rPr>
          <w:rFonts w:asciiTheme="minorHAnsi" w:hAnsiTheme="minorHAnsi"/>
          <w:b/>
        </w:rPr>
      </w:pPr>
    </w:p>
    <w:p w14:paraId="535E8B17" w14:textId="77777777" w:rsidR="0068203C" w:rsidRDefault="0068203C" w:rsidP="009D6AEF">
      <w:pPr>
        <w:rPr>
          <w:rFonts w:asciiTheme="minorHAnsi" w:hAnsiTheme="minorHAnsi"/>
          <w:b/>
        </w:rPr>
      </w:pPr>
    </w:p>
    <w:p w14:paraId="6D0ADD1A" w14:textId="097808B5" w:rsidR="0068203C" w:rsidRPr="0068203C" w:rsidRDefault="0068203C" w:rsidP="009D6AEF">
      <w:pPr>
        <w:rPr>
          <w:rFonts w:asciiTheme="minorHAnsi" w:hAnsiTheme="minorHAnsi"/>
        </w:rPr>
      </w:pPr>
      <w:r w:rsidRPr="0068203C">
        <w:rPr>
          <w:rFonts w:asciiTheme="minorHAnsi" w:hAnsiTheme="minorHAnsi"/>
        </w:rPr>
        <w:t>Izvještaj o rashodima prema funkcijskoj klasifikaciji iskazuje AOP 097 ukupne rashode u zdravstvu u iznosu 115.847.102 kn, a odnose se na usluge specijalističkih bolnica.</w:t>
      </w:r>
    </w:p>
    <w:p w14:paraId="0D041644" w14:textId="77777777" w:rsidR="009D6AEF" w:rsidRPr="0068203C" w:rsidRDefault="009D6AEF" w:rsidP="009D6AEF">
      <w:pPr>
        <w:rPr>
          <w:rFonts w:asciiTheme="minorHAnsi" w:hAnsiTheme="minorHAnsi"/>
        </w:rPr>
      </w:pPr>
    </w:p>
    <w:p w14:paraId="70D6F894" w14:textId="77777777" w:rsidR="009D6AEF" w:rsidRPr="0068203C" w:rsidRDefault="009D6AEF" w:rsidP="009D6AEF">
      <w:pPr>
        <w:rPr>
          <w:rFonts w:asciiTheme="minorHAnsi" w:hAnsiTheme="minorHAnsi"/>
        </w:rPr>
      </w:pPr>
    </w:p>
    <w:p w14:paraId="020B49B8" w14:textId="77777777" w:rsidR="009D6AEF" w:rsidRPr="00C5075D" w:rsidRDefault="009D6AEF" w:rsidP="009D6AEF">
      <w:pPr>
        <w:rPr>
          <w:rFonts w:asciiTheme="minorHAnsi" w:hAnsiTheme="minorHAnsi"/>
          <w:b/>
        </w:rPr>
      </w:pPr>
    </w:p>
    <w:p w14:paraId="0617C661" w14:textId="77777777" w:rsidR="009D6AEF" w:rsidRPr="00C5075D" w:rsidRDefault="009D6AEF" w:rsidP="009D6AEF">
      <w:pPr>
        <w:rPr>
          <w:rFonts w:asciiTheme="minorHAnsi" w:hAnsiTheme="minorHAnsi"/>
          <w:b/>
        </w:rPr>
      </w:pPr>
    </w:p>
    <w:p w14:paraId="592222FF" w14:textId="77777777" w:rsidR="009D6AEF" w:rsidRPr="00C5075D" w:rsidRDefault="009D6AEF" w:rsidP="009D6AEF">
      <w:pPr>
        <w:rPr>
          <w:rFonts w:asciiTheme="minorHAnsi" w:hAnsiTheme="minorHAnsi"/>
          <w:b/>
        </w:rPr>
      </w:pPr>
    </w:p>
    <w:p w14:paraId="0DA58478" w14:textId="77777777" w:rsidR="009D6AEF" w:rsidRPr="00C5075D" w:rsidRDefault="009D6AEF" w:rsidP="009D6AEF">
      <w:pPr>
        <w:rPr>
          <w:rFonts w:asciiTheme="minorHAnsi" w:hAnsiTheme="minorHAnsi"/>
          <w:b/>
        </w:rPr>
      </w:pPr>
    </w:p>
    <w:p w14:paraId="5F7E1B8D" w14:textId="77777777" w:rsidR="009D6AEF" w:rsidRDefault="009D6AEF" w:rsidP="009D6AEF">
      <w:pPr>
        <w:jc w:val="center"/>
        <w:rPr>
          <w:rFonts w:asciiTheme="minorHAnsi" w:hAnsiTheme="minorHAnsi"/>
        </w:rPr>
      </w:pPr>
    </w:p>
    <w:p w14:paraId="03EF104F" w14:textId="77777777" w:rsidR="00B94023" w:rsidRDefault="00B94023" w:rsidP="009D6AEF">
      <w:pPr>
        <w:jc w:val="center"/>
        <w:rPr>
          <w:rFonts w:asciiTheme="minorHAnsi" w:hAnsiTheme="minorHAnsi"/>
        </w:rPr>
      </w:pPr>
    </w:p>
    <w:p w14:paraId="05514619" w14:textId="77777777" w:rsidR="00B94023" w:rsidRDefault="00B94023" w:rsidP="009D6AEF">
      <w:pPr>
        <w:jc w:val="center"/>
        <w:rPr>
          <w:rFonts w:asciiTheme="minorHAnsi" w:hAnsiTheme="minorHAnsi"/>
        </w:rPr>
      </w:pPr>
    </w:p>
    <w:p w14:paraId="1638B868" w14:textId="77777777" w:rsidR="00277A9C" w:rsidRDefault="00277A9C" w:rsidP="009D6AEF">
      <w:pPr>
        <w:jc w:val="center"/>
        <w:rPr>
          <w:rFonts w:asciiTheme="minorHAnsi" w:hAnsiTheme="minorHAnsi"/>
        </w:rPr>
      </w:pPr>
    </w:p>
    <w:p w14:paraId="19073C29" w14:textId="77777777" w:rsidR="00277A9C" w:rsidRDefault="00277A9C" w:rsidP="009D6AEF">
      <w:pPr>
        <w:jc w:val="center"/>
        <w:rPr>
          <w:rFonts w:asciiTheme="minorHAnsi" w:hAnsiTheme="minorHAnsi"/>
        </w:rPr>
      </w:pPr>
    </w:p>
    <w:p w14:paraId="689930F8" w14:textId="77777777" w:rsidR="00CD0A52" w:rsidRDefault="00CD0A52" w:rsidP="00087416">
      <w:pPr>
        <w:jc w:val="center"/>
        <w:rPr>
          <w:rFonts w:asciiTheme="minorHAnsi" w:hAnsiTheme="minorHAnsi"/>
          <w:b/>
        </w:rPr>
      </w:pPr>
    </w:p>
    <w:p w14:paraId="3E786CFF" w14:textId="77777777" w:rsidR="009D6AEF" w:rsidRPr="00C5075D" w:rsidRDefault="009D6AEF" w:rsidP="00087416">
      <w:pPr>
        <w:jc w:val="center"/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>BILJEŠKE UZ IZVJEŠTAJ O OBVEZAMA</w:t>
      </w:r>
    </w:p>
    <w:p w14:paraId="2CFA4DD3" w14:textId="178AD886" w:rsidR="009D6AEF" w:rsidRPr="00C5075D" w:rsidRDefault="009D6AEF" w:rsidP="00087416">
      <w:pPr>
        <w:jc w:val="center"/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>01.01.201</w:t>
      </w:r>
      <w:r w:rsidR="00B1418C">
        <w:rPr>
          <w:rFonts w:asciiTheme="minorHAnsi" w:hAnsiTheme="minorHAnsi"/>
          <w:b/>
        </w:rPr>
        <w:t>9</w:t>
      </w:r>
      <w:r w:rsidRPr="00C5075D">
        <w:rPr>
          <w:rFonts w:asciiTheme="minorHAnsi" w:hAnsiTheme="minorHAnsi"/>
          <w:b/>
        </w:rPr>
        <w:t>.  -  31.12.201</w:t>
      </w:r>
      <w:r w:rsidR="00B1418C">
        <w:rPr>
          <w:rFonts w:asciiTheme="minorHAnsi" w:hAnsiTheme="minorHAnsi"/>
          <w:b/>
        </w:rPr>
        <w:t>9</w:t>
      </w:r>
      <w:r w:rsidRPr="00C5075D">
        <w:rPr>
          <w:rFonts w:asciiTheme="minorHAnsi" w:hAnsiTheme="minorHAnsi"/>
          <w:b/>
        </w:rPr>
        <w:t xml:space="preserve"> . GODINE</w:t>
      </w:r>
    </w:p>
    <w:p w14:paraId="31BBE20D" w14:textId="77777777" w:rsidR="006228D1" w:rsidRDefault="006228D1" w:rsidP="006228D1">
      <w:pPr>
        <w:jc w:val="both"/>
        <w:rPr>
          <w:rFonts w:asciiTheme="minorHAnsi" w:hAnsiTheme="minorHAnsi"/>
          <w:b/>
          <w:i/>
        </w:rPr>
      </w:pPr>
    </w:p>
    <w:p w14:paraId="76910C96" w14:textId="77777777" w:rsidR="008C0B16" w:rsidRPr="00C5075D" w:rsidRDefault="008C0B16" w:rsidP="006228D1">
      <w:pPr>
        <w:jc w:val="both"/>
        <w:rPr>
          <w:rFonts w:asciiTheme="minorHAnsi" w:hAnsiTheme="minorHAnsi"/>
          <w:b/>
          <w:i/>
        </w:rPr>
      </w:pPr>
      <w:bookmarkStart w:id="1" w:name="_GoBack"/>
      <w:bookmarkEnd w:id="1"/>
    </w:p>
    <w:p w14:paraId="6C0DE2AF" w14:textId="6CC80161" w:rsidR="006228D1" w:rsidRPr="00C5075D" w:rsidRDefault="00E3094F" w:rsidP="006228D1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S</w:t>
      </w:r>
      <w:r w:rsidR="006228D1" w:rsidRPr="00C5075D">
        <w:rPr>
          <w:rFonts w:asciiTheme="minorHAnsi" w:hAnsiTheme="minorHAnsi"/>
          <w:b/>
          <w:i/>
        </w:rPr>
        <w:t>tanje obveza</w:t>
      </w:r>
    </w:p>
    <w:p w14:paraId="7FDD283F" w14:textId="5781B7B8" w:rsidR="006228D1" w:rsidRDefault="006228D1" w:rsidP="006228D1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 xml:space="preserve">AOP 001 - stanje obveza na početku izvještajnog razdoblja manje je od stanja obveza na kraju izvještajnog razdoblje prikazanog na AOP – 036 za </w:t>
      </w:r>
      <w:r w:rsidR="008B3708">
        <w:rPr>
          <w:rFonts w:asciiTheme="minorHAnsi" w:hAnsiTheme="minorHAnsi"/>
        </w:rPr>
        <w:t>12,31</w:t>
      </w:r>
      <w:r w:rsidR="0094253D">
        <w:rPr>
          <w:rFonts w:asciiTheme="minorHAnsi" w:hAnsiTheme="minorHAnsi"/>
        </w:rPr>
        <w:t xml:space="preserve"> % odnosno </w:t>
      </w:r>
      <w:r w:rsidRPr="00C5075D">
        <w:rPr>
          <w:rFonts w:asciiTheme="minorHAnsi" w:hAnsiTheme="minorHAnsi"/>
        </w:rPr>
        <w:t xml:space="preserve"> </w:t>
      </w:r>
      <w:r w:rsidR="00720A39">
        <w:rPr>
          <w:rFonts w:asciiTheme="minorHAnsi" w:hAnsiTheme="minorHAnsi"/>
        </w:rPr>
        <w:t xml:space="preserve">3.977.280 </w:t>
      </w:r>
      <w:r w:rsidRPr="00C5075D">
        <w:rPr>
          <w:rFonts w:asciiTheme="minorHAnsi" w:hAnsiTheme="minorHAnsi"/>
        </w:rPr>
        <w:t>kn. Na povećanje obveza utjecalo je povećanje obveza prema zaposlenicima  kojima je sukladno postignutom  dogovoru između Vlade Republike Hrvatske i sindikata utvrđena veća osnovica za obračun plaće tijekom  201</w:t>
      </w:r>
      <w:r w:rsidR="004D3C98">
        <w:rPr>
          <w:rFonts w:asciiTheme="minorHAnsi" w:hAnsiTheme="minorHAnsi"/>
        </w:rPr>
        <w:t>9</w:t>
      </w:r>
      <w:r w:rsidRPr="00C5075D">
        <w:rPr>
          <w:rFonts w:asciiTheme="minorHAnsi" w:hAnsiTheme="minorHAnsi"/>
        </w:rPr>
        <w:t xml:space="preserve">. </w:t>
      </w:r>
      <w:r w:rsidR="00720A39">
        <w:rPr>
          <w:rFonts w:asciiTheme="minorHAnsi" w:hAnsiTheme="minorHAnsi"/>
        </w:rPr>
        <w:t>g</w:t>
      </w:r>
      <w:r w:rsidRPr="00C5075D">
        <w:rPr>
          <w:rFonts w:asciiTheme="minorHAnsi" w:hAnsiTheme="minorHAnsi"/>
        </w:rPr>
        <w:t>odine</w:t>
      </w:r>
      <w:r w:rsidR="00720A39">
        <w:rPr>
          <w:rFonts w:asciiTheme="minorHAnsi" w:hAnsiTheme="minorHAnsi"/>
        </w:rPr>
        <w:t xml:space="preserve"> te veći dodaci za uvjete rada sukladno Kolektivnom ugovoru</w:t>
      </w:r>
      <w:r w:rsidRPr="00C5075D">
        <w:rPr>
          <w:rFonts w:asciiTheme="minorHAnsi" w:hAnsiTheme="minorHAnsi"/>
        </w:rPr>
        <w:t>,</w:t>
      </w:r>
      <w:r w:rsidR="0094253D">
        <w:rPr>
          <w:rFonts w:asciiTheme="minorHAnsi" w:hAnsiTheme="minorHAnsi"/>
        </w:rPr>
        <w:t xml:space="preserve"> a </w:t>
      </w:r>
      <w:r w:rsidR="005C2382">
        <w:rPr>
          <w:rFonts w:asciiTheme="minorHAnsi" w:hAnsiTheme="minorHAnsi"/>
        </w:rPr>
        <w:t xml:space="preserve">što </w:t>
      </w:r>
      <w:r w:rsidR="005828B0">
        <w:rPr>
          <w:rFonts w:asciiTheme="minorHAnsi" w:hAnsiTheme="minorHAnsi"/>
        </w:rPr>
        <w:t>se odrazilo i</w:t>
      </w:r>
      <w:r w:rsidR="005C2382">
        <w:rPr>
          <w:rFonts w:asciiTheme="minorHAnsi" w:hAnsiTheme="minorHAnsi"/>
        </w:rPr>
        <w:t xml:space="preserve"> na povećanju obveza u</w:t>
      </w:r>
      <w:r w:rsidR="0094253D">
        <w:rPr>
          <w:rFonts w:asciiTheme="minorHAnsi" w:hAnsiTheme="minorHAnsi"/>
        </w:rPr>
        <w:t xml:space="preserve"> 201</w:t>
      </w:r>
      <w:r w:rsidR="00B1418C">
        <w:rPr>
          <w:rFonts w:asciiTheme="minorHAnsi" w:hAnsiTheme="minorHAnsi"/>
        </w:rPr>
        <w:t>9</w:t>
      </w:r>
      <w:r w:rsidR="0094253D">
        <w:rPr>
          <w:rFonts w:asciiTheme="minorHAnsi" w:hAnsiTheme="minorHAnsi"/>
        </w:rPr>
        <w:t>. godini</w:t>
      </w:r>
      <w:r w:rsidR="005C2382">
        <w:rPr>
          <w:rFonts w:asciiTheme="minorHAnsi" w:hAnsiTheme="minorHAnsi"/>
        </w:rPr>
        <w:t xml:space="preserve">. </w:t>
      </w:r>
    </w:p>
    <w:p w14:paraId="08AEDD1A" w14:textId="77777777" w:rsidR="005C2382" w:rsidRPr="00C5075D" w:rsidRDefault="005C2382" w:rsidP="006228D1">
      <w:pPr>
        <w:jc w:val="both"/>
        <w:rPr>
          <w:rFonts w:asciiTheme="minorHAnsi" w:hAnsiTheme="minorHAnsi"/>
        </w:rPr>
      </w:pPr>
    </w:p>
    <w:p w14:paraId="625DEEE6" w14:textId="3764DA94" w:rsidR="006228D1" w:rsidRPr="00C5075D" w:rsidRDefault="006228D1" w:rsidP="006228D1">
      <w:pPr>
        <w:jc w:val="both"/>
        <w:rPr>
          <w:rFonts w:asciiTheme="minorHAnsi" w:hAnsiTheme="minorHAnsi"/>
          <w:b/>
          <w:i/>
        </w:rPr>
      </w:pPr>
      <w:r w:rsidRPr="00C5075D">
        <w:rPr>
          <w:rFonts w:asciiTheme="minorHAnsi" w:hAnsiTheme="minorHAnsi"/>
          <w:b/>
          <w:i/>
        </w:rPr>
        <w:t>Podmirene obveze u izvještajnom razdoblju</w:t>
      </w:r>
    </w:p>
    <w:p w14:paraId="48A2CAB1" w14:textId="667D0669" w:rsidR="006228D1" w:rsidRPr="00C5075D" w:rsidRDefault="006228D1" w:rsidP="006228D1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 xml:space="preserve">AOP  019 - u izvještajnom razdoblju podmirene su sve dospjele obveze prema zaposlenicima, dok su obveze za materijalne rashode prema dobavljačima </w:t>
      </w:r>
      <w:r w:rsidR="00720A39">
        <w:rPr>
          <w:rFonts w:asciiTheme="minorHAnsi" w:hAnsiTheme="minorHAnsi"/>
        </w:rPr>
        <w:t xml:space="preserve">i obveze za financijske rashode </w:t>
      </w:r>
      <w:r w:rsidRPr="00C5075D">
        <w:rPr>
          <w:rFonts w:asciiTheme="minorHAnsi" w:hAnsiTheme="minorHAnsi"/>
        </w:rPr>
        <w:t xml:space="preserve">podmirene u iznosu </w:t>
      </w:r>
      <w:r w:rsidR="00720A39">
        <w:rPr>
          <w:rFonts w:asciiTheme="minorHAnsi" w:hAnsiTheme="minorHAnsi"/>
        </w:rPr>
        <w:t>5.298.950</w:t>
      </w:r>
      <w:r w:rsidRPr="00C5075D">
        <w:rPr>
          <w:rFonts w:asciiTheme="minorHAnsi" w:hAnsiTheme="minorHAnsi"/>
        </w:rPr>
        <w:t xml:space="preserve"> kn manjem u odnosu na nastale materijalne obveze</w:t>
      </w:r>
      <w:r w:rsidR="00720A39">
        <w:rPr>
          <w:rFonts w:asciiTheme="minorHAnsi" w:hAnsiTheme="minorHAnsi"/>
        </w:rPr>
        <w:t xml:space="preserve"> i obveze za financijske rashode</w:t>
      </w:r>
      <w:r w:rsidR="005C2382">
        <w:rPr>
          <w:rFonts w:asciiTheme="minorHAnsi" w:hAnsiTheme="minorHAnsi"/>
        </w:rPr>
        <w:t xml:space="preserve"> jer se u redoslijedu plaćanja prvo podmiruju obveze za zaposlene</w:t>
      </w:r>
      <w:r w:rsidRPr="00C5075D">
        <w:rPr>
          <w:rFonts w:asciiTheme="minorHAnsi" w:hAnsiTheme="minorHAnsi"/>
        </w:rPr>
        <w:t xml:space="preserve">. </w:t>
      </w:r>
    </w:p>
    <w:p w14:paraId="2846B9AD" w14:textId="77777777" w:rsidR="006228D1" w:rsidRPr="00C5075D" w:rsidRDefault="006228D1" w:rsidP="006228D1">
      <w:pPr>
        <w:jc w:val="both"/>
        <w:rPr>
          <w:rFonts w:asciiTheme="minorHAnsi" w:hAnsiTheme="minorHAnsi"/>
        </w:rPr>
      </w:pPr>
    </w:p>
    <w:p w14:paraId="3C4DDF5D" w14:textId="55F40482" w:rsidR="006228D1" w:rsidRPr="00C5075D" w:rsidRDefault="006228D1" w:rsidP="006228D1">
      <w:pPr>
        <w:jc w:val="both"/>
        <w:rPr>
          <w:rFonts w:asciiTheme="minorHAnsi" w:hAnsiTheme="minorHAnsi"/>
          <w:b/>
          <w:i/>
        </w:rPr>
      </w:pPr>
      <w:r w:rsidRPr="00C5075D">
        <w:rPr>
          <w:rFonts w:asciiTheme="minorHAnsi" w:hAnsiTheme="minorHAnsi"/>
          <w:b/>
          <w:i/>
        </w:rPr>
        <w:t xml:space="preserve"> </w:t>
      </w:r>
      <w:r w:rsidR="00E3094F">
        <w:rPr>
          <w:rFonts w:asciiTheme="minorHAnsi" w:hAnsiTheme="minorHAnsi"/>
          <w:b/>
          <w:i/>
        </w:rPr>
        <w:t>Stanje</w:t>
      </w:r>
      <w:r w:rsidRPr="00C5075D">
        <w:rPr>
          <w:rFonts w:asciiTheme="minorHAnsi" w:hAnsiTheme="minorHAnsi"/>
          <w:b/>
          <w:i/>
        </w:rPr>
        <w:t xml:space="preserve"> obveza na kraju izvještajnog razdoblja</w:t>
      </w:r>
    </w:p>
    <w:p w14:paraId="127ED17F" w14:textId="24F51290" w:rsidR="006228D1" w:rsidRPr="00C5075D" w:rsidRDefault="008940B4" w:rsidP="006228D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228D1" w:rsidRPr="00C5075D">
        <w:rPr>
          <w:rFonts w:asciiTheme="minorHAnsi" w:hAnsiTheme="minorHAnsi"/>
        </w:rPr>
        <w:t xml:space="preserve">AOP  036 – prema strukturi  obveza dospjelo je </w:t>
      </w:r>
      <w:r w:rsidR="00F90FA6">
        <w:rPr>
          <w:rFonts w:asciiTheme="minorHAnsi" w:hAnsiTheme="minorHAnsi"/>
        </w:rPr>
        <w:t>6</w:t>
      </w:r>
      <w:r w:rsidR="00A70C2D">
        <w:rPr>
          <w:rFonts w:asciiTheme="minorHAnsi" w:hAnsiTheme="minorHAnsi"/>
        </w:rPr>
        <w:t>5</w:t>
      </w:r>
      <w:r w:rsidR="006228D1" w:rsidRPr="00C5075D">
        <w:rPr>
          <w:rFonts w:asciiTheme="minorHAnsi" w:hAnsiTheme="minorHAnsi"/>
        </w:rPr>
        <w:t xml:space="preserve">%  obveza ili </w:t>
      </w:r>
      <w:r w:rsidR="00A70C2D">
        <w:rPr>
          <w:rFonts w:asciiTheme="minorHAnsi" w:hAnsiTheme="minorHAnsi"/>
        </w:rPr>
        <w:t>23.838.807</w:t>
      </w:r>
      <w:r w:rsidR="006228D1" w:rsidRPr="00C5075D">
        <w:rPr>
          <w:rFonts w:asciiTheme="minorHAnsi" w:hAnsiTheme="minorHAnsi"/>
        </w:rPr>
        <w:t xml:space="preserve"> kn. Sve dospjele obveze odnose se </w:t>
      </w:r>
      <w:r w:rsidR="005828B0">
        <w:rPr>
          <w:rFonts w:asciiTheme="minorHAnsi" w:hAnsiTheme="minorHAnsi"/>
        </w:rPr>
        <w:t xml:space="preserve">u najvećem dijelu </w:t>
      </w:r>
      <w:r w:rsidR="006228D1" w:rsidRPr="00C5075D">
        <w:rPr>
          <w:rFonts w:asciiTheme="minorHAnsi" w:hAnsiTheme="minorHAnsi"/>
        </w:rPr>
        <w:t xml:space="preserve">na materijalne rashode. </w:t>
      </w:r>
    </w:p>
    <w:p w14:paraId="43B63964" w14:textId="51CE6FDF" w:rsidR="006228D1" w:rsidRDefault="005C2382" w:rsidP="006228D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Prekoračenje iznad 360 dana iznosi </w:t>
      </w:r>
      <w:r w:rsidR="00A70C2D">
        <w:rPr>
          <w:rFonts w:asciiTheme="minorHAnsi" w:hAnsiTheme="minorHAnsi"/>
        </w:rPr>
        <w:t>9.760.176</w:t>
      </w:r>
      <w:r>
        <w:rPr>
          <w:rFonts w:asciiTheme="minorHAnsi" w:hAnsiTheme="minorHAnsi"/>
        </w:rPr>
        <w:t xml:space="preserve"> kn ili  </w:t>
      </w:r>
      <w:r w:rsidR="00A70C2D">
        <w:rPr>
          <w:rFonts w:asciiTheme="minorHAnsi" w:hAnsiTheme="minorHAnsi"/>
        </w:rPr>
        <w:t>41</w:t>
      </w:r>
      <w:r>
        <w:rPr>
          <w:rFonts w:asciiTheme="minorHAnsi" w:hAnsiTheme="minorHAnsi"/>
        </w:rPr>
        <w:t xml:space="preserve">% ukupno dospjelih obveza. </w:t>
      </w:r>
    </w:p>
    <w:p w14:paraId="0664F350" w14:textId="586E0177" w:rsidR="005C2382" w:rsidRDefault="005C2382" w:rsidP="006228D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Prekoračenje 181 do 360 dana iznosi </w:t>
      </w:r>
      <w:r w:rsidR="00A70C2D">
        <w:rPr>
          <w:rFonts w:asciiTheme="minorHAnsi" w:hAnsiTheme="minorHAnsi"/>
        </w:rPr>
        <w:t>6.248.414</w:t>
      </w:r>
      <w:r>
        <w:rPr>
          <w:rFonts w:asciiTheme="minorHAnsi" w:hAnsiTheme="minorHAnsi"/>
        </w:rPr>
        <w:t xml:space="preserve"> kn ili </w:t>
      </w:r>
      <w:r w:rsidR="00A70C2D">
        <w:rPr>
          <w:rFonts w:asciiTheme="minorHAnsi" w:hAnsiTheme="minorHAnsi"/>
        </w:rPr>
        <w:t>26</w:t>
      </w:r>
      <w:r w:rsidR="005828B0">
        <w:rPr>
          <w:rFonts w:asciiTheme="minorHAnsi" w:hAnsiTheme="minorHAnsi"/>
        </w:rPr>
        <w:t xml:space="preserve"> % ukupno dospjelih obveza.</w:t>
      </w:r>
    </w:p>
    <w:p w14:paraId="5F4E4674" w14:textId="069B3052" w:rsidR="005828B0" w:rsidRDefault="005828B0" w:rsidP="005828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Prekoračenje 61 do 180 dana iznosi </w:t>
      </w:r>
      <w:r w:rsidR="00A70C2D">
        <w:rPr>
          <w:rFonts w:asciiTheme="minorHAnsi" w:hAnsiTheme="minorHAnsi"/>
        </w:rPr>
        <w:t>4.338.000</w:t>
      </w:r>
      <w:r>
        <w:rPr>
          <w:rFonts w:asciiTheme="minorHAnsi" w:hAnsiTheme="minorHAnsi"/>
        </w:rPr>
        <w:t xml:space="preserve"> kn ili </w:t>
      </w:r>
      <w:r w:rsidR="00A70C2D">
        <w:rPr>
          <w:rFonts w:asciiTheme="minorHAnsi" w:hAnsiTheme="minorHAnsi"/>
        </w:rPr>
        <w:t>18</w:t>
      </w:r>
      <w:r>
        <w:rPr>
          <w:rFonts w:asciiTheme="minorHAnsi" w:hAnsiTheme="minorHAnsi"/>
        </w:rPr>
        <w:t xml:space="preserve"> % ukupno dospjelih obveza.</w:t>
      </w:r>
    </w:p>
    <w:p w14:paraId="7871CE2E" w14:textId="7CCA5753" w:rsidR="008C0B16" w:rsidRDefault="008C0B16" w:rsidP="008C0B1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Prekoračenje 1 do 60 dana iznosi </w:t>
      </w:r>
      <w:r w:rsidR="00A70C2D">
        <w:rPr>
          <w:rFonts w:asciiTheme="minorHAnsi" w:hAnsiTheme="minorHAnsi"/>
        </w:rPr>
        <w:t>3.492.217</w:t>
      </w:r>
      <w:r>
        <w:rPr>
          <w:rFonts w:asciiTheme="minorHAnsi" w:hAnsiTheme="minorHAnsi"/>
        </w:rPr>
        <w:t xml:space="preserve"> kn ili </w:t>
      </w:r>
      <w:r w:rsidR="00A70C2D">
        <w:rPr>
          <w:rFonts w:asciiTheme="minorHAnsi" w:hAnsiTheme="minorHAnsi"/>
        </w:rPr>
        <w:t>1</w:t>
      </w:r>
      <w:r w:rsidR="00807109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% ukupno dospjelih obveza.</w:t>
      </w:r>
    </w:p>
    <w:p w14:paraId="5FB94D09" w14:textId="77777777" w:rsidR="008C0B16" w:rsidRDefault="008C0B16" w:rsidP="005828B0">
      <w:pPr>
        <w:jc w:val="both"/>
        <w:rPr>
          <w:rFonts w:asciiTheme="minorHAnsi" w:hAnsiTheme="minorHAnsi"/>
        </w:rPr>
      </w:pPr>
    </w:p>
    <w:p w14:paraId="267F23E7" w14:textId="77777777" w:rsidR="008C0B16" w:rsidRDefault="008C0B16" w:rsidP="006228D1">
      <w:pPr>
        <w:jc w:val="both"/>
        <w:rPr>
          <w:rFonts w:asciiTheme="minorHAnsi" w:hAnsiTheme="minorHAnsi"/>
          <w:b/>
          <w:i/>
        </w:rPr>
      </w:pPr>
    </w:p>
    <w:p w14:paraId="40C497E8" w14:textId="7BF0FF94" w:rsidR="006228D1" w:rsidRPr="00C5075D" w:rsidRDefault="006228D1" w:rsidP="006228D1">
      <w:pPr>
        <w:jc w:val="both"/>
        <w:rPr>
          <w:rFonts w:asciiTheme="minorHAnsi" w:hAnsiTheme="minorHAnsi"/>
          <w:b/>
          <w:i/>
        </w:rPr>
      </w:pPr>
      <w:r w:rsidRPr="00C5075D">
        <w:rPr>
          <w:rFonts w:asciiTheme="minorHAnsi" w:hAnsiTheme="minorHAnsi"/>
          <w:b/>
          <w:i/>
        </w:rPr>
        <w:t xml:space="preserve"> Stanje nedospjelih obveza na kraju izvještajnog razdoblja</w:t>
      </w:r>
    </w:p>
    <w:p w14:paraId="51046C4F" w14:textId="319A5A9A" w:rsidR="006228D1" w:rsidRPr="00C5075D" w:rsidRDefault="006228D1" w:rsidP="006228D1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>AOP – 09</w:t>
      </w:r>
      <w:r w:rsidR="00F90FA6">
        <w:rPr>
          <w:rFonts w:asciiTheme="minorHAnsi" w:hAnsiTheme="minorHAnsi"/>
        </w:rPr>
        <w:t>0</w:t>
      </w:r>
      <w:r w:rsidRPr="00C5075D">
        <w:rPr>
          <w:rFonts w:asciiTheme="minorHAnsi" w:hAnsiTheme="minorHAnsi"/>
        </w:rPr>
        <w:t xml:space="preserve"> - nedospjele obveze iznose </w:t>
      </w:r>
      <w:r w:rsidR="00807109">
        <w:rPr>
          <w:rFonts w:asciiTheme="minorHAnsi" w:hAnsiTheme="minorHAnsi"/>
        </w:rPr>
        <w:t>12.447.196 kn</w:t>
      </w:r>
      <w:r w:rsidRPr="00C5075D">
        <w:rPr>
          <w:rFonts w:asciiTheme="minorHAnsi" w:hAnsiTheme="minorHAnsi"/>
        </w:rPr>
        <w:t xml:space="preserve"> od toga se </w:t>
      </w:r>
      <w:r w:rsidR="00F90FA6">
        <w:rPr>
          <w:rFonts w:asciiTheme="minorHAnsi" w:hAnsiTheme="minorHAnsi"/>
        </w:rPr>
        <w:t>11.</w:t>
      </w:r>
      <w:r w:rsidR="00807109">
        <w:rPr>
          <w:rFonts w:asciiTheme="minorHAnsi" w:hAnsiTheme="minorHAnsi"/>
        </w:rPr>
        <w:t>696.712</w:t>
      </w:r>
      <w:r w:rsidRPr="00C5075D">
        <w:rPr>
          <w:rFonts w:asciiTheme="minorHAnsi" w:hAnsiTheme="minorHAnsi"/>
        </w:rPr>
        <w:t xml:space="preserve"> kn ili </w:t>
      </w:r>
      <w:r w:rsidR="00F90FA6">
        <w:rPr>
          <w:rFonts w:asciiTheme="minorHAnsi" w:hAnsiTheme="minorHAnsi"/>
        </w:rPr>
        <w:t>9</w:t>
      </w:r>
      <w:r w:rsidR="00807109">
        <w:rPr>
          <w:rFonts w:asciiTheme="minorHAnsi" w:hAnsiTheme="minorHAnsi"/>
        </w:rPr>
        <w:t>3,97</w:t>
      </w:r>
      <w:r w:rsidRPr="00C5075D">
        <w:rPr>
          <w:rFonts w:asciiTheme="minorHAnsi" w:hAnsiTheme="minorHAnsi"/>
        </w:rPr>
        <w:t xml:space="preserve">% obveza odnose na obveze za rashode poslovanja, </w:t>
      </w:r>
      <w:r w:rsidR="00807109">
        <w:rPr>
          <w:rFonts w:asciiTheme="minorHAnsi" w:hAnsiTheme="minorHAnsi"/>
        </w:rPr>
        <w:t>636.516</w:t>
      </w:r>
      <w:r w:rsidRPr="00C5075D">
        <w:rPr>
          <w:rFonts w:asciiTheme="minorHAnsi" w:hAnsiTheme="minorHAnsi"/>
        </w:rPr>
        <w:t xml:space="preserve"> kn ili</w:t>
      </w:r>
      <w:r w:rsidR="00807109">
        <w:rPr>
          <w:rFonts w:asciiTheme="minorHAnsi" w:hAnsiTheme="minorHAnsi"/>
        </w:rPr>
        <w:t xml:space="preserve"> 5,11</w:t>
      </w:r>
      <w:r w:rsidRPr="00C5075D">
        <w:rPr>
          <w:rFonts w:asciiTheme="minorHAnsi" w:hAnsiTheme="minorHAnsi"/>
        </w:rPr>
        <w:t xml:space="preserve"> </w:t>
      </w:r>
      <w:r w:rsidR="00807109">
        <w:rPr>
          <w:rFonts w:asciiTheme="minorHAnsi" w:hAnsiTheme="minorHAnsi"/>
        </w:rPr>
        <w:t>%</w:t>
      </w:r>
      <w:r w:rsidRPr="00C5075D">
        <w:rPr>
          <w:rFonts w:asciiTheme="minorHAnsi" w:hAnsiTheme="minorHAnsi"/>
        </w:rPr>
        <w:t xml:space="preserve"> za nabavu nefinancijske imovine</w:t>
      </w:r>
      <w:r w:rsidR="00807109">
        <w:rPr>
          <w:rFonts w:asciiTheme="minorHAnsi" w:hAnsiTheme="minorHAnsi"/>
        </w:rPr>
        <w:t>, 108.084</w:t>
      </w:r>
      <w:r w:rsidRPr="00C5075D">
        <w:rPr>
          <w:rFonts w:asciiTheme="minorHAnsi" w:hAnsiTheme="minorHAnsi"/>
        </w:rPr>
        <w:t xml:space="preserve"> kn ili </w:t>
      </w:r>
      <w:r w:rsidR="00807109">
        <w:rPr>
          <w:rFonts w:asciiTheme="minorHAnsi" w:hAnsiTheme="minorHAnsi"/>
        </w:rPr>
        <w:t>0,87</w:t>
      </w:r>
      <w:r w:rsidR="00287E33">
        <w:rPr>
          <w:rFonts w:asciiTheme="minorHAnsi" w:hAnsiTheme="minorHAnsi"/>
        </w:rPr>
        <w:t>%</w:t>
      </w:r>
      <w:r w:rsidRPr="00C5075D">
        <w:rPr>
          <w:rFonts w:asciiTheme="minorHAnsi" w:hAnsiTheme="minorHAnsi"/>
        </w:rPr>
        <w:t xml:space="preserve"> za obveze  </w:t>
      </w:r>
      <w:r w:rsidR="00287E33">
        <w:rPr>
          <w:rFonts w:asciiTheme="minorHAnsi" w:hAnsiTheme="minorHAnsi"/>
        </w:rPr>
        <w:t xml:space="preserve">za financijsku imovinu te </w:t>
      </w:r>
      <w:r w:rsidR="00807109">
        <w:rPr>
          <w:rFonts w:asciiTheme="minorHAnsi" w:hAnsiTheme="minorHAnsi"/>
        </w:rPr>
        <w:t>5.884</w:t>
      </w:r>
      <w:r w:rsidR="00287E33">
        <w:rPr>
          <w:rFonts w:asciiTheme="minorHAnsi" w:hAnsiTheme="minorHAnsi"/>
        </w:rPr>
        <w:t xml:space="preserve"> kn ili 0,0</w:t>
      </w:r>
      <w:r w:rsidR="00807109">
        <w:rPr>
          <w:rFonts w:asciiTheme="minorHAnsi" w:hAnsiTheme="minorHAnsi"/>
        </w:rPr>
        <w:t>5</w:t>
      </w:r>
      <w:r w:rsidR="00287E33">
        <w:rPr>
          <w:rFonts w:asciiTheme="minorHAnsi" w:hAnsiTheme="minorHAnsi"/>
        </w:rPr>
        <w:t>% za međusobne obveze proračunskih korisnika.</w:t>
      </w:r>
    </w:p>
    <w:p w14:paraId="198873AB" w14:textId="77777777" w:rsidR="009D6AEF" w:rsidRPr="00C5075D" w:rsidRDefault="009D6AEF" w:rsidP="009D6AEF">
      <w:pPr>
        <w:rPr>
          <w:rFonts w:asciiTheme="minorHAnsi" w:hAnsiTheme="minorHAnsi"/>
          <w:b/>
        </w:rPr>
      </w:pPr>
    </w:p>
    <w:p w14:paraId="2B2697FD" w14:textId="77777777" w:rsidR="005B0FF2" w:rsidRDefault="009D6AEF" w:rsidP="005B0FF2">
      <w:pPr>
        <w:jc w:val="center"/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 xml:space="preserve">             </w:t>
      </w:r>
    </w:p>
    <w:p w14:paraId="203EEADF" w14:textId="729A0643" w:rsidR="00CD0A52" w:rsidRDefault="00CD0A52" w:rsidP="008A55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Tijekom 2019. godine pokrenuta su tri ovršna postupka za naplatu </w:t>
      </w:r>
      <w:r w:rsidR="008E7772">
        <w:rPr>
          <w:rFonts w:asciiTheme="minorHAnsi" w:hAnsiTheme="minorHAnsi"/>
        </w:rPr>
        <w:t>dugovanja</w:t>
      </w:r>
      <w:r>
        <w:rPr>
          <w:rFonts w:asciiTheme="minorHAnsi" w:hAnsiTheme="minorHAnsi"/>
        </w:rPr>
        <w:t xml:space="preserve"> od </w:t>
      </w:r>
      <w:r w:rsidR="008E7772">
        <w:rPr>
          <w:rFonts w:asciiTheme="minorHAnsi" w:hAnsiTheme="minorHAnsi"/>
        </w:rPr>
        <w:t xml:space="preserve">dobavljača za </w:t>
      </w:r>
      <w:r w:rsidR="00281BF2">
        <w:rPr>
          <w:rFonts w:asciiTheme="minorHAnsi" w:hAnsiTheme="minorHAnsi"/>
        </w:rPr>
        <w:t xml:space="preserve">isporučene </w:t>
      </w:r>
      <w:r w:rsidR="008E7772">
        <w:rPr>
          <w:rFonts w:asciiTheme="minorHAnsi" w:hAnsiTheme="minorHAnsi"/>
        </w:rPr>
        <w:t>lijekove i potrošni medicinski materijal te</w:t>
      </w:r>
      <w:r>
        <w:rPr>
          <w:rFonts w:asciiTheme="minorHAnsi" w:hAnsiTheme="minorHAnsi"/>
        </w:rPr>
        <w:t xml:space="preserve"> jedan ovršni postupak za naplatu </w:t>
      </w:r>
      <w:r w:rsidR="008E7772">
        <w:rPr>
          <w:rFonts w:asciiTheme="minorHAnsi" w:hAnsiTheme="minorHAnsi"/>
        </w:rPr>
        <w:t xml:space="preserve">dugovanja od dobavljača za </w:t>
      </w:r>
      <w:r w:rsidR="00281BF2">
        <w:rPr>
          <w:rFonts w:asciiTheme="minorHAnsi" w:hAnsiTheme="minorHAnsi"/>
        </w:rPr>
        <w:t xml:space="preserve">isporučene </w:t>
      </w:r>
      <w:r>
        <w:rPr>
          <w:rFonts w:asciiTheme="minorHAnsi" w:hAnsiTheme="minorHAnsi"/>
        </w:rPr>
        <w:t>prehramben</w:t>
      </w:r>
      <w:r w:rsidR="008E7772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proizvod</w:t>
      </w:r>
      <w:r w:rsidR="008E7772">
        <w:rPr>
          <w:rFonts w:asciiTheme="minorHAnsi" w:hAnsiTheme="minorHAnsi"/>
        </w:rPr>
        <w:t>e</w:t>
      </w:r>
      <w:r>
        <w:rPr>
          <w:rFonts w:asciiTheme="minorHAnsi" w:hAnsiTheme="minorHAnsi"/>
        </w:rPr>
        <w:t>.</w:t>
      </w:r>
    </w:p>
    <w:p w14:paraId="33588573" w14:textId="77777777" w:rsidR="005B0FF2" w:rsidRDefault="005B0FF2" w:rsidP="008A554D">
      <w:pPr>
        <w:jc w:val="both"/>
        <w:rPr>
          <w:rFonts w:asciiTheme="minorHAnsi" w:hAnsiTheme="minorHAnsi"/>
          <w:b/>
        </w:rPr>
      </w:pPr>
    </w:p>
    <w:p w14:paraId="66045B4A" w14:textId="40959143" w:rsidR="005B0FF2" w:rsidRPr="008E7772" w:rsidRDefault="00CD0A52" w:rsidP="008A554D">
      <w:pPr>
        <w:jc w:val="both"/>
        <w:rPr>
          <w:rFonts w:asciiTheme="minorHAnsi" w:hAnsiTheme="minorHAnsi"/>
          <w:i/>
        </w:rPr>
      </w:pPr>
      <w:r w:rsidRPr="008E7772">
        <w:rPr>
          <w:rFonts w:asciiTheme="minorHAnsi" w:hAnsiTheme="minorHAnsi"/>
          <w:i/>
        </w:rPr>
        <w:t xml:space="preserve">Tijekom 2019. godine </w:t>
      </w:r>
      <w:r w:rsidR="008E7772" w:rsidRPr="008E7772">
        <w:rPr>
          <w:rFonts w:asciiTheme="minorHAnsi" w:hAnsiTheme="minorHAnsi"/>
          <w:i/>
        </w:rPr>
        <w:t xml:space="preserve">Neuropsihijatrijskoj bolnici dr. Ivan Barbot Popovača nisu uplaćena </w:t>
      </w:r>
      <w:r w:rsidRPr="008E7772">
        <w:rPr>
          <w:rFonts w:asciiTheme="minorHAnsi" w:hAnsiTheme="minorHAnsi"/>
          <w:i/>
        </w:rPr>
        <w:t xml:space="preserve"> dodatna financijska sredstva </w:t>
      </w:r>
      <w:r w:rsidR="00281BF2">
        <w:rPr>
          <w:rFonts w:asciiTheme="minorHAnsi" w:hAnsiTheme="minorHAnsi"/>
          <w:i/>
        </w:rPr>
        <w:t xml:space="preserve">od strane HZZO  ni Vlade RH na prijedlog Ministarstva zdravstva </w:t>
      </w:r>
      <w:r w:rsidRPr="008E7772">
        <w:rPr>
          <w:rFonts w:asciiTheme="minorHAnsi" w:hAnsiTheme="minorHAnsi"/>
          <w:i/>
        </w:rPr>
        <w:t xml:space="preserve">za podmirivanje dugovanja </w:t>
      </w:r>
      <w:r w:rsidR="008E7772" w:rsidRPr="008E7772">
        <w:rPr>
          <w:rFonts w:asciiTheme="minorHAnsi" w:hAnsiTheme="minorHAnsi"/>
          <w:i/>
        </w:rPr>
        <w:t xml:space="preserve">dobavljačima </w:t>
      </w:r>
      <w:r w:rsidRPr="008E7772">
        <w:rPr>
          <w:rFonts w:asciiTheme="minorHAnsi" w:hAnsiTheme="minorHAnsi"/>
          <w:i/>
        </w:rPr>
        <w:t>za isporučene lijekove</w:t>
      </w:r>
      <w:r w:rsidR="008940B4">
        <w:rPr>
          <w:rFonts w:asciiTheme="minorHAnsi" w:hAnsiTheme="minorHAnsi"/>
          <w:i/>
        </w:rPr>
        <w:t>.</w:t>
      </w:r>
      <w:r w:rsidRPr="008E7772">
        <w:rPr>
          <w:rFonts w:asciiTheme="minorHAnsi" w:hAnsiTheme="minorHAnsi"/>
          <w:i/>
        </w:rPr>
        <w:t xml:space="preserve">   </w:t>
      </w:r>
    </w:p>
    <w:p w14:paraId="502F24A0" w14:textId="77777777" w:rsidR="005B0FF2" w:rsidRDefault="005B0FF2" w:rsidP="005B0FF2">
      <w:pPr>
        <w:jc w:val="center"/>
        <w:rPr>
          <w:rFonts w:asciiTheme="minorHAnsi" w:hAnsiTheme="minorHAnsi"/>
          <w:b/>
        </w:rPr>
      </w:pPr>
    </w:p>
    <w:p w14:paraId="3B9CDE26" w14:textId="77777777" w:rsidR="005B0FF2" w:rsidRDefault="005B0FF2" w:rsidP="005B0FF2">
      <w:pPr>
        <w:jc w:val="center"/>
        <w:rPr>
          <w:rFonts w:asciiTheme="minorHAnsi" w:hAnsiTheme="minorHAnsi"/>
          <w:b/>
        </w:rPr>
      </w:pPr>
    </w:p>
    <w:p w14:paraId="0C033159" w14:textId="77777777" w:rsidR="005B0FF2" w:rsidRDefault="005B0FF2" w:rsidP="005B0FF2">
      <w:pPr>
        <w:jc w:val="center"/>
        <w:rPr>
          <w:rFonts w:asciiTheme="minorHAnsi" w:hAnsiTheme="minorHAnsi"/>
          <w:b/>
        </w:rPr>
      </w:pPr>
    </w:p>
    <w:p w14:paraId="7188D921" w14:textId="77777777" w:rsidR="005B0FF2" w:rsidRDefault="005B0FF2" w:rsidP="005B0FF2">
      <w:pPr>
        <w:jc w:val="center"/>
        <w:rPr>
          <w:rFonts w:asciiTheme="minorHAnsi" w:hAnsiTheme="minorHAnsi"/>
          <w:b/>
        </w:rPr>
      </w:pPr>
    </w:p>
    <w:p w14:paraId="2AD3DB17" w14:textId="77777777" w:rsidR="005B0FF2" w:rsidRDefault="005B0FF2" w:rsidP="005B0FF2">
      <w:pPr>
        <w:jc w:val="center"/>
        <w:rPr>
          <w:rFonts w:asciiTheme="minorHAnsi" w:hAnsiTheme="minorHAnsi"/>
          <w:b/>
        </w:rPr>
      </w:pPr>
    </w:p>
    <w:p w14:paraId="5D4E8E9A" w14:textId="02A1928A" w:rsidR="005B0FF2" w:rsidRPr="00C5075D" w:rsidRDefault="009D6AEF" w:rsidP="005B0FF2">
      <w:pPr>
        <w:jc w:val="center"/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lastRenderedPageBreak/>
        <w:t xml:space="preserve"> </w:t>
      </w:r>
      <w:r w:rsidR="005B0FF2" w:rsidRPr="00C5075D">
        <w:rPr>
          <w:rFonts w:asciiTheme="minorHAnsi" w:hAnsiTheme="minorHAnsi"/>
          <w:b/>
        </w:rPr>
        <w:t>BILJEŠKE UZ BILANCU NA DAN   31.12.201</w:t>
      </w:r>
      <w:r w:rsidR="005B0FF2">
        <w:rPr>
          <w:rFonts w:asciiTheme="minorHAnsi" w:hAnsiTheme="minorHAnsi"/>
          <w:b/>
        </w:rPr>
        <w:t>9</w:t>
      </w:r>
      <w:r w:rsidR="005B0FF2" w:rsidRPr="00C5075D">
        <w:rPr>
          <w:rFonts w:asciiTheme="minorHAnsi" w:hAnsiTheme="minorHAnsi"/>
          <w:b/>
        </w:rPr>
        <w:t>. GODINE</w:t>
      </w:r>
    </w:p>
    <w:p w14:paraId="29C19AB7" w14:textId="77777777" w:rsidR="005B0FF2" w:rsidRPr="00C5075D" w:rsidRDefault="005B0FF2" w:rsidP="005B0FF2">
      <w:pPr>
        <w:rPr>
          <w:rFonts w:asciiTheme="minorHAnsi" w:hAnsiTheme="minorHAnsi"/>
          <w:b/>
        </w:rPr>
      </w:pPr>
    </w:p>
    <w:p w14:paraId="0359201F" w14:textId="77777777" w:rsidR="005B0FF2" w:rsidRPr="00C5075D" w:rsidRDefault="005B0FF2" w:rsidP="008A554D">
      <w:pPr>
        <w:jc w:val="both"/>
        <w:rPr>
          <w:rFonts w:asciiTheme="minorHAnsi" w:hAnsiTheme="minorHAnsi"/>
          <w:b/>
          <w:i/>
        </w:rPr>
      </w:pPr>
      <w:r w:rsidRPr="00C5075D">
        <w:rPr>
          <w:rFonts w:asciiTheme="minorHAnsi" w:hAnsiTheme="minorHAnsi"/>
          <w:b/>
          <w:i/>
        </w:rPr>
        <w:t>Ukupna imovina</w:t>
      </w:r>
    </w:p>
    <w:p w14:paraId="0D31FD3D" w14:textId="1892EBE7" w:rsidR="005B0FF2" w:rsidRPr="00C5075D" w:rsidRDefault="005B0FF2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>Ukupna imovina bolnice iskazana na AOP 001 povećala se u odnosu na početno stanje 201</w:t>
      </w:r>
      <w:r>
        <w:rPr>
          <w:rFonts w:asciiTheme="minorHAnsi" w:hAnsiTheme="minorHAnsi"/>
        </w:rPr>
        <w:t>9</w:t>
      </w:r>
      <w:r w:rsidRPr="00C5075D">
        <w:rPr>
          <w:rFonts w:asciiTheme="minorHAnsi" w:hAnsiTheme="minorHAnsi"/>
        </w:rPr>
        <w:t xml:space="preserve">.godine za </w:t>
      </w:r>
      <w:r>
        <w:rPr>
          <w:rFonts w:asciiTheme="minorHAnsi" w:hAnsiTheme="minorHAnsi"/>
        </w:rPr>
        <w:t>1</w:t>
      </w:r>
      <w:r w:rsidR="00C22D99">
        <w:rPr>
          <w:rFonts w:asciiTheme="minorHAnsi" w:hAnsiTheme="minorHAnsi"/>
        </w:rPr>
        <w:t>,8</w:t>
      </w:r>
      <w:r w:rsidRPr="00C5075D">
        <w:rPr>
          <w:rFonts w:asciiTheme="minorHAnsi" w:hAnsiTheme="minorHAnsi"/>
        </w:rPr>
        <w:t xml:space="preserve">% ili za </w:t>
      </w:r>
      <w:r w:rsidR="00C22D99">
        <w:rPr>
          <w:rFonts w:asciiTheme="minorHAnsi" w:hAnsiTheme="minorHAnsi"/>
        </w:rPr>
        <w:t>1.085.638</w:t>
      </w:r>
      <w:r w:rsidRPr="00C5075D">
        <w:rPr>
          <w:rFonts w:asciiTheme="minorHAnsi" w:hAnsiTheme="minorHAnsi"/>
        </w:rPr>
        <w:t xml:space="preserve"> kn. Na povećanje ukupne imovine utjecalo je povećanje financijske imovine. </w:t>
      </w:r>
    </w:p>
    <w:p w14:paraId="51CCB492" w14:textId="77777777" w:rsidR="005B0FF2" w:rsidRPr="00C5075D" w:rsidRDefault="005B0FF2" w:rsidP="008A554D">
      <w:pPr>
        <w:jc w:val="both"/>
        <w:rPr>
          <w:rFonts w:asciiTheme="minorHAnsi" w:hAnsiTheme="minorHAnsi"/>
        </w:rPr>
      </w:pPr>
    </w:p>
    <w:p w14:paraId="353833B6" w14:textId="77777777" w:rsidR="005B0FF2" w:rsidRPr="00C5075D" w:rsidRDefault="005B0FF2" w:rsidP="008A554D">
      <w:pPr>
        <w:jc w:val="both"/>
        <w:rPr>
          <w:rFonts w:asciiTheme="minorHAnsi" w:hAnsiTheme="minorHAnsi"/>
          <w:b/>
          <w:i/>
        </w:rPr>
      </w:pPr>
      <w:r w:rsidRPr="00C5075D">
        <w:rPr>
          <w:rFonts w:asciiTheme="minorHAnsi" w:hAnsiTheme="minorHAnsi"/>
          <w:b/>
          <w:i/>
        </w:rPr>
        <w:t>Nefinancijska imovina</w:t>
      </w:r>
    </w:p>
    <w:p w14:paraId="48248B75" w14:textId="26821CDD" w:rsidR="005B0FF2" w:rsidRDefault="008940B4" w:rsidP="008A55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5B0FF2">
        <w:rPr>
          <w:rFonts w:asciiTheme="minorHAnsi" w:hAnsiTheme="minorHAnsi"/>
        </w:rPr>
        <w:t>AOP</w:t>
      </w:r>
      <w:r>
        <w:rPr>
          <w:rFonts w:asciiTheme="minorHAnsi" w:hAnsiTheme="minorHAnsi"/>
        </w:rPr>
        <w:t xml:space="preserve"> </w:t>
      </w:r>
      <w:r w:rsidR="005B0FF2">
        <w:rPr>
          <w:rFonts w:asciiTheme="minorHAnsi" w:hAnsiTheme="minorHAnsi"/>
        </w:rPr>
        <w:t>01</w:t>
      </w:r>
      <w:r w:rsidR="00C22D99">
        <w:rPr>
          <w:rFonts w:asciiTheme="minorHAnsi" w:hAnsiTheme="minorHAnsi"/>
        </w:rPr>
        <w:t>2</w:t>
      </w:r>
      <w:r w:rsidR="005B0FF2">
        <w:rPr>
          <w:rFonts w:asciiTheme="minorHAnsi" w:hAnsiTheme="minorHAnsi"/>
        </w:rPr>
        <w:t xml:space="preserve"> – </w:t>
      </w:r>
      <w:r w:rsidR="00C22D99">
        <w:rPr>
          <w:rFonts w:asciiTheme="minorHAnsi" w:hAnsiTheme="minorHAnsi"/>
        </w:rPr>
        <w:t>Ostali građevinski objekti iskazano povećanje u odnosu na početno stanje zbog izgradnje dizala za osobe smanjene pokretljivosti financiran iz decentraliziranih sredstava u iznosu od 843.000 kuna</w:t>
      </w:r>
      <w:r w:rsidR="005B0FF2">
        <w:rPr>
          <w:rFonts w:asciiTheme="minorHAnsi" w:hAnsiTheme="minorHAnsi"/>
        </w:rPr>
        <w:t>.</w:t>
      </w:r>
      <w:r w:rsidR="005B0FF2" w:rsidRPr="00C5075D">
        <w:rPr>
          <w:rFonts w:asciiTheme="minorHAnsi" w:hAnsiTheme="minorHAnsi"/>
        </w:rPr>
        <w:t xml:space="preserve"> </w:t>
      </w:r>
    </w:p>
    <w:p w14:paraId="1A71C189" w14:textId="134347C9" w:rsidR="00C22D99" w:rsidRPr="0090425C" w:rsidRDefault="008940B4" w:rsidP="008A554D">
      <w:pPr>
        <w:jc w:val="both"/>
        <w:rPr>
          <w:rFonts w:asciiTheme="minorHAnsi" w:hAnsiTheme="minorHAnsi"/>
        </w:rPr>
      </w:pPr>
      <w:r w:rsidRPr="0090425C">
        <w:rPr>
          <w:rFonts w:asciiTheme="minorHAnsi" w:hAnsiTheme="minorHAnsi"/>
        </w:rPr>
        <w:t xml:space="preserve">            </w:t>
      </w:r>
      <w:r w:rsidR="00C22D99" w:rsidRPr="0090425C">
        <w:rPr>
          <w:rFonts w:asciiTheme="minorHAnsi" w:hAnsiTheme="minorHAnsi"/>
        </w:rPr>
        <w:t xml:space="preserve">AOP 017 – oprema za održavanje i zaštitu porasla su za 13%, odnosno za 304.998 kn, zbog nabave </w:t>
      </w:r>
      <w:r w:rsidR="001E296D" w:rsidRPr="0090425C">
        <w:rPr>
          <w:rFonts w:asciiTheme="minorHAnsi" w:hAnsiTheme="minorHAnsi"/>
        </w:rPr>
        <w:t xml:space="preserve">detektora požara, </w:t>
      </w:r>
      <w:r w:rsidR="00B23C7B" w:rsidRPr="0090425C">
        <w:rPr>
          <w:rFonts w:asciiTheme="minorHAnsi" w:hAnsiTheme="minorHAnsi"/>
        </w:rPr>
        <w:t xml:space="preserve"> </w:t>
      </w:r>
      <w:r w:rsidR="0090425C" w:rsidRPr="0090425C">
        <w:rPr>
          <w:rFonts w:asciiTheme="minorHAnsi" w:hAnsiTheme="minorHAnsi"/>
        </w:rPr>
        <w:t>klima uređaja i higijenskih kontejnera za pohranu prljavog rublja.</w:t>
      </w:r>
    </w:p>
    <w:p w14:paraId="7CF9B642" w14:textId="4B4518A0" w:rsidR="00C22D99" w:rsidRPr="00C5075D" w:rsidRDefault="008940B4" w:rsidP="008A55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C22D99">
        <w:rPr>
          <w:rFonts w:asciiTheme="minorHAnsi" w:hAnsiTheme="minorHAnsi"/>
        </w:rPr>
        <w:t>AOP</w:t>
      </w:r>
      <w:r>
        <w:rPr>
          <w:rFonts w:asciiTheme="minorHAnsi" w:hAnsiTheme="minorHAnsi"/>
        </w:rPr>
        <w:t xml:space="preserve"> </w:t>
      </w:r>
      <w:r w:rsidR="00C22D99">
        <w:rPr>
          <w:rFonts w:asciiTheme="minorHAnsi" w:hAnsiTheme="minorHAnsi"/>
        </w:rPr>
        <w:t>059</w:t>
      </w:r>
      <w:r w:rsidR="008E7772">
        <w:rPr>
          <w:rFonts w:asciiTheme="minorHAnsi" w:hAnsiTheme="minorHAnsi"/>
        </w:rPr>
        <w:t xml:space="preserve"> -</w:t>
      </w:r>
      <w:r w:rsidR="00C22D99">
        <w:rPr>
          <w:rFonts w:asciiTheme="minorHAnsi" w:hAnsiTheme="minorHAnsi"/>
        </w:rPr>
        <w:t xml:space="preserve"> Zalihe za obavljanje djelatnosti</w:t>
      </w:r>
      <w:r w:rsidR="008E7772">
        <w:rPr>
          <w:rFonts w:asciiTheme="minorHAnsi" w:hAnsiTheme="minorHAnsi"/>
        </w:rPr>
        <w:t>,</w:t>
      </w:r>
      <w:r w:rsidR="00C22D99">
        <w:rPr>
          <w:rFonts w:asciiTheme="minorHAnsi" w:hAnsiTheme="minorHAnsi"/>
        </w:rPr>
        <w:t xml:space="preserve"> iskazano povećanje u odnosu na početno stanje odnosi se na zalihe lijekova koje su nastale zbog nestašica na tržištu i poremećaja redovite isporuke zbog čega </w:t>
      </w:r>
      <w:r>
        <w:rPr>
          <w:rFonts w:asciiTheme="minorHAnsi" w:hAnsiTheme="minorHAnsi"/>
        </w:rPr>
        <w:t>se stvara</w:t>
      </w:r>
      <w:r w:rsidR="00DD3C77">
        <w:rPr>
          <w:rFonts w:asciiTheme="minorHAnsi" w:hAnsiTheme="minorHAnsi"/>
        </w:rPr>
        <w:t xml:space="preserve"> zalih</w:t>
      </w:r>
      <w:r>
        <w:rPr>
          <w:rFonts w:asciiTheme="minorHAnsi" w:hAnsiTheme="minorHAnsi"/>
        </w:rPr>
        <w:t>a</w:t>
      </w:r>
      <w:r w:rsidR="00DD3C77">
        <w:rPr>
          <w:rFonts w:asciiTheme="minorHAnsi" w:hAnsiTheme="minorHAnsi"/>
        </w:rPr>
        <w:t xml:space="preserve"> kako bi</w:t>
      </w:r>
      <w:r>
        <w:rPr>
          <w:rFonts w:asciiTheme="minorHAnsi" w:hAnsiTheme="minorHAnsi"/>
        </w:rPr>
        <w:t xml:space="preserve"> se </w:t>
      </w:r>
      <w:r w:rsidR="00DD3C77">
        <w:rPr>
          <w:rFonts w:asciiTheme="minorHAnsi" w:hAnsiTheme="minorHAnsi"/>
        </w:rPr>
        <w:t>osigural</w:t>
      </w:r>
      <w:r>
        <w:rPr>
          <w:rFonts w:asciiTheme="minorHAnsi" w:hAnsiTheme="minorHAnsi"/>
        </w:rPr>
        <w:t>a</w:t>
      </w:r>
      <w:r w:rsidR="00DD3C77">
        <w:rPr>
          <w:rFonts w:asciiTheme="minorHAnsi" w:hAnsiTheme="minorHAnsi"/>
        </w:rPr>
        <w:t xml:space="preserve"> kontinuiran</w:t>
      </w:r>
      <w:r>
        <w:rPr>
          <w:rFonts w:asciiTheme="minorHAnsi" w:hAnsiTheme="minorHAnsi"/>
        </w:rPr>
        <w:t>a</w:t>
      </w:r>
      <w:r w:rsidR="00DD3C77">
        <w:rPr>
          <w:rFonts w:asciiTheme="minorHAnsi" w:hAnsiTheme="minorHAnsi"/>
        </w:rPr>
        <w:t xml:space="preserve"> opskrb</w:t>
      </w:r>
      <w:r>
        <w:rPr>
          <w:rFonts w:asciiTheme="minorHAnsi" w:hAnsiTheme="minorHAnsi"/>
        </w:rPr>
        <w:t>a</w:t>
      </w:r>
      <w:r w:rsidR="00DD3C77">
        <w:rPr>
          <w:rFonts w:asciiTheme="minorHAnsi" w:hAnsiTheme="minorHAnsi"/>
        </w:rPr>
        <w:t xml:space="preserve"> pacijenata potrebnim lijekovima jer dio lijekova koji su u </w:t>
      </w:r>
      <w:proofErr w:type="spellStart"/>
      <w:r w:rsidR="00DD3C77">
        <w:rPr>
          <w:rFonts w:asciiTheme="minorHAnsi" w:hAnsiTheme="minorHAnsi"/>
        </w:rPr>
        <w:t>defekturi</w:t>
      </w:r>
      <w:proofErr w:type="spellEnd"/>
      <w:r w:rsidR="00DD3C77">
        <w:rPr>
          <w:rFonts w:asciiTheme="minorHAnsi" w:hAnsiTheme="minorHAnsi"/>
        </w:rPr>
        <w:t xml:space="preserve"> nemaju paralele.</w:t>
      </w:r>
      <w:r>
        <w:rPr>
          <w:rFonts w:asciiTheme="minorHAnsi" w:hAnsiTheme="minorHAnsi"/>
        </w:rPr>
        <w:t xml:space="preserve"> </w:t>
      </w:r>
    </w:p>
    <w:p w14:paraId="3EDBEBF8" w14:textId="77777777" w:rsidR="005B0FF2" w:rsidRPr="00C5075D" w:rsidRDefault="005B0FF2" w:rsidP="008A554D">
      <w:pPr>
        <w:jc w:val="both"/>
        <w:rPr>
          <w:rFonts w:asciiTheme="minorHAnsi" w:hAnsiTheme="minorHAnsi"/>
        </w:rPr>
      </w:pPr>
    </w:p>
    <w:p w14:paraId="15F86F4D" w14:textId="77777777" w:rsidR="005B0FF2" w:rsidRPr="00C5075D" w:rsidRDefault="005B0FF2" w:rsidP="008A554D">
      <w:pPr>
        <w:jc w:val="both"/>
        <w:rPr>
          <w:rFonts w:asciiTheme="minorHAnsi" w:hAnsiTheme="minorHAnsi"/>
          <w:b/>
          <w:i/>
        </w:rPr>
      </w:pPr>
      <w:r w:rsidRPr="00C5075D">
        <w:rPr>
          <w:rFonts w:asciiTheme="minorHAnsi" w:hAnsiTheme="minorHAnsi"/>
          <w:b/>
          <w:i/>
        </w:rPr>
        <w:t>Financijska imovina</w:t>
      </w:r>
    </w:p>
    <w:p w14:paraId="3F54D81D" w14:textId="77777777" w:rsidR="00DD3C77" w:rsidRDefault="005B0FF2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</w:rPr>
        <w:t xml:space="preserve">Financijska imovina povećala se za </w:t>
      </w:r>
      <w:r>
        <w:rPr>
          <w:rFonts w:asciiTheme="minorHAnsi" w:hAnsiTheme="minorHAnsi"/>
        </w:rPr>
        <w:t>1</w:t>
      </w:r>
      <w:r w:rsidR="00DD3C77">
        <w:rPr>
          <w:rFonts w:asciiTheme="minorHAnsi" w:hAnsiTheme="minorHAnsi"/>
        </w:rPr>
        <w:t>2</w:t>
      </w:r>
      <w:r>
        <w:rPr>
          <w:rFonts w:asciiTheme="minorHAnsi" w:hAnsiTheme="minorHAnsi"/>
        </w:rPr>
        <w:t>,</w:t>
      </w:r>
      <w:r w:rsidR="00DD3C77">
        <w:rPr>
          <w:rFonts w:asciiTheme="minorHAnsi" w:hAnsiTheme="minorHAnsi"/>
        </w:rPr>
        <w:t>3</w:t>
      </w:r>
      <w:r w:rsidRPr="00C5075D">
        <w:rPr>
          <w:rFonts w:asciiTheme="minorHAnsi" w:hAnsiTheme="minorHAnsi"/>
        </w:rPr>
        <w:t xml:space="preserve">% ili za </w:t>
      </w:r>
      <w:r w:rsidR="00DD3C77">
        <w:rPr>
          <w:rFonts w:asciiTheme="minorHAnsi" w:hAnsiTheme="minorHAnsi"/>
        </w:rPr>
        <w:t>596.080</w:t>
      </w:r>
      <w:r w:rsidRPr="00C5075D">
        <w:rPr>
          <w:rFonts w:asciiTheme="minorHAnsi" w:hAnsiTheme="minorHAnsi"/>
        </w:rPr>
        <w:t xml:space="preserve"> kn zbog </w:t>
      </w:r>
      <w:r>
        <w:rPr>
          <w:rFonts w:asciiTheme="minorHAnsi" w:hAnsiTheme="minorHAnsi"/>
        </w:rPr>
        <w:t xml:space="preserve">više sredstava na računu </w:t>
      </w:r>
    </w:p>
    <w:p w14:paraId="76D28727" w14:textId="34F3B863" w:rsidR="005B0FF2" w:rsidRDefault="005B0FF2" w:rsidP="008A55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blagajni na dan 31.12. u odnosu na početno stanje.</w:t>
      </w:r>
    </w:p>
    <w:p w14:paraId="04F57E5E" w14:textId="3579F659" w:rsidR="00DD3C77" w:rsidRDefault="008940B4" w:rsidP="008A55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DD3C77">
        <w:rPr>
          <w:rFonts w:asciiTheme="minorHAnsi" w:hAnsiTheme="minorHAnsi"/>
        </w:rPr>
        <w:t>AOP</w:t>
      </w:r>
      <w:r>
        <w:rPr>
          <w:rFonts w:asciiTheme="minorHAnsi" w:hAnsiTheme="minorHAnsi"/>
        </w:rPr>
        <w:t xml:space="preserve"> </w:t>
      </w:r>
      <w:r w:rsidR="00DD3C77">
        <w:rPr>
          <w:rFonts w:asciiTheme="minorHAnsi" w:hAnsiTheme="minorHAnsi"/>
        </w:rPr>
        <w:t xml:space="preserve">079 </w:t>
      </w:r>
      <w:r>
        <w:rPr>
          <w:rFonts w:asciiTheme="minorHAnsi" w:hAnsiTheme="minorHAnsi"/>
        </w:rPr>
        <w:t xml:space="preserve">- </w:t>
      </w:r>
      <w:r w:rsidR="00DD3C77">
        <w:rPr>
          <w:rFonts w:asciiTheme="minorHAnsi" w:hAnsiTheme="minorHAnsi"/>
        </w:rPr>
        <w:t>Potraživanja za više plaćene poreze i doprinose u iznosu 4.221 kn odnose se na potraživanja za povrat poreza po konačnom obračunu kod posljednje isplate plaće u 2019. godini.</w:t>
      </w:r>
    </w:p>
    <w:p w14:paraId="4ACF506F" w14:textId="34CE96FB" w:rsidR="00DD3C77" w:rsidRDefault="008940B4" w:rsidP="008A55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DD3C77">
        <w:rPr>
          <w:rFonts w:asciiTheme="minorHAnsi" w:hAnsiTheme="minorHAnsi"/>
        </w:rPr>
        <w:t>AOP</w:t>
      </w:r>
      <w:r>
        <w:rPr>
          <w:rFonts w:asciiTheme="minorHAnsi" w:hAnsiTheme="minorHAnsi"/>
        </w:rPr>
        <w:t xml:space="preserve"> </w:t>
      </w:r>
      <w:r w:rsidR="00DD3C77">
        <w:rPr>
          <w:rFonts w:asciiTheme="minorHAnsi" w:hAnsiTheme="minorHAnsi"/>
        </w:rPr>
        <w:t xml:space="preserve">080 </w:t>
      </w:r>
      <w:r>
        <w:rPr>
          <w:rFonts w:asciiTheme="minorHAnsi" w:hAnsiTheme="minorHAnsi"/>
        </w:rPr>
        <w:t xml:space="preserve">- </w:t>
      </w:r>
      <w:r w:rsidR="00DD3C77">
        <w:rPr>
          <w:rFonts w:asciiTheme="minorHAnsi" w:hAnsiTheme="minorHAnsi"/>
        </w:rPr>
        <w:t>Ostala potraživanja iskazano povećanje u odnosu na početno stanje odnosi se na potraživanje za naknade koje se refundiraju</w:t>
      </w:r>
      <w:r w:rsidR="00FE2D19">
        <w:rPr>
          <w:rFonts w:asciiTheme="minorHAnsi" w:hAnsiTheme="minorHAnsi"/>
        </w:rPr>
        <w:t xml:space="preserve"> (</w:t>
      </w:r>
      <w:r w:rsidR="00DD3C77">
        <w:rPr>
          <w:rFonts w:asciiTheme="minorHAnsi" w:hAnsiTheme="minorHAnsi"/>
        </w:rPr>
        <w:t xml:space="preserve"> bolovanja</w:t>
      </w:r>
      <w:r w:rsidR="00FE2D19">
        <w:rPr>
          <w:rFonts w:asciiTheme="minorHAnsi" w:hAnsiTheme="minorHAnsi"/>
        </w:rPr>
        <w:t>).</w:t>
      </w:r>
      <w:r w:rsidR="00DD3C77">
        <w:rPr>
          <w:rFonts w:asciiTheme="minorHAnsi" w:hAnsiTheme="minorHAnsi"/>
        </w:rPr>
        <w:t xml:space="preserve"> </w:t>
      </w:r>
    </w:p>
    <w:p w14:paraId="14BA6308" w14:textId="0E831554" w:rsidR="00324981" w:rsidRDefault="008940B4" w:rsidP="008A55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324981">
        <w:rPr>
          <w:rFonts w:asciiTheme="minorHAnsi" w:hAnsiTheme="minorHAnsi"/>
        </w:rPr>
        <w:t>AOP</w:t>
      </w:r>
      <w:r>
        <w:rPr>
          <w:rFonts w:asciiTheme="minorHAnsi" w:hAnsiTheme="minorHAnsi"/>
        </w:rPr>
        <w:t xml:space="preserve"> </w:t>
      </w:r>
      <w:r w:rsidR="00324981">
        <w:rPr>
          <w:rFonts w:asciiTheme="minorHAnsi" w:hAnsiTheme="minorHAnsi"/>
        </w:rPr>
        <w:t>128 Dionice i udjeli u glavnici –</w:t>
      </w:r>
      <w:r w:rsidR="008E7772">
        <w:rPr>
          <w:rFonts w:asciiTheme="minorHAnsi" w:hAnsiTheme="minorHAnsi"/>
        </w:rPr>
        <w:t xml:space="preserve"> </w:t>
      </w:r>
      <w:r w:rsidR="00324981">
        <w:rPr>
          <w:rFonts w:asciiTheme="minorHAnsi" w:hAnsiTheme="minorHAnsi"/>
        </w:rPr>
        <w:t>tuzemni iskazano je povećanje u odnosu na početno stanje zbog od 13,6 % odnosno 107.900 kn sukladno podacima Središnjeg klirinškog depozitarnog društva na dan 31.12.2019.godine za dionice čiji je bolnica vlasnik i to: Croatia osiguranja 20 dionica i PBZ 929 dionica.</w:t>
      </w:r>
    </w:p>
    <w:p w14:paraId="0597ED7D" w14:textId="55D5E78B" w:rsidR="005B0FF2" w:rsidRDefault="008940B4" w:rsidP="008A55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5B0FF2">
        <w:rPr>
          <w:rFonts w:asciiTheme="minorHAnsi" w:hAnsiTheme="minorHAnsi"/>
        </w:rPr>
        <w:t xml:space="preserve">AOP 140 – potraživanja za prihode poslovanja su </w:t>
      </w:r>
      <w:r w:rsidR="00324981">
        <w:rPr>
          <w:rFonts w:asciiTheme="minorHAnsi" w:hAnsiTheme="minorHAnsi"/>
        </w:rPr>
        <w:t xml:space="preserve">smanjena </w:t>
      </w:r>
      <w:r w:rsidR="005B0FF2">
        <w:rPr>
          <w:rFonts w:asciiTheme="minorHAnsi" w:hAnsiTheme="minorHAnsi"/>
        </w:rPr>
        <w:t xml:space="preserve"> u odnosu na početno stanje za </w:t>
      </w:r>
      <w:r w:rsidR="00324981">
        <w:rPr>
          <w:rFonts w:asciiTheme="minorHAnsi" w:hAnsiTheme="minorHAnsi"/>
        </w:rPr>
        <w:t>13,6</w:t>
      </w:r>
      <w:r w:rsidR="005B0FF2">
        <w:rPr>
          <w:rFonts w:asciiTheme="minorHAnsi" w:hAnsiTheme="minorHAnsi"/>
        </w:rPr>
        <w:t xml:space="preserve">% ili </w:t>
      </w:r>
      <w:r w:rsidR="00324981">
        <w:rPr>
          <w:rFonts w:asciiTheme="minorHAnsi" w:hAnsiTheme="minorHAnsi"/>
        </w:rPr>
        <w:t>342.220</w:t>
      </w:r>
      <w:r w:rsidR="005B0FF2">
        <w:rPr>
          <w:rFonts w:asciiTheme="minorHAnsi" w:hAnsiTheme="minorHAnsi"/>
        </w:rPr>
        <w:t xml:space="preserve"> kn iz razloga što </w:t>
      </w:r>
      <w:r w:rsidR="00E0128B">
        <w:rPr>
          <w:rFonts w:asciiTheme="minorHAnsi" w:hAnsiTheme="minorHAnsi"/>
        </w:rPr>
        <w:t xml:space="preserve">su potraživanja tijekom godine naplaćivana kontinuirano.  </w:t>
      </w:r>
      <w:r w:rsidR="005B0FF2">
        <w:rPr>
          <w:rFonts w:asciiTheme="minorHAnsi" w:hAnsiTheme="minorHAnsi"/>
        </w:rPr>
        <w:t xml:space="preserve"> </w:t>
      </w:r>
    </w:p>
    <w:p w14:paraId="307E93E0" w14:textId="7482E163" w:rsidR="005B0FF2" w:rsidRPr="00C5075D" w:rsidRDefault="008940B4" w:rsidP="008A55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854FB6">
        <w:rPr>
          <w:rFonts w:asciiTheme="minorHAnsi" w:hAnsiTheme="minorHAnsi"/>
        </w:rPr>
        <w:t>AOP</w:t>
      </w:r>
      <w:r>
        <w:rPr>
          <w:rFonts w:asciiTheme="minorHAnsi" w:hAnsiTheme="minorHAnsi"/>
        </w:rPr>
        <w:t xml:space="preserve"> </w:t>
      </w:r>
      <w:r w:rsidR="00854FB6">
        <w:rPr>
          <w:rFonts w:asciiTheme="minorHAnsi" w:hAnsiTheme="minorHAnsi"/>
        </w:rPr>
        <w:t>222</w:t>
      </w:r>
      <w:r>
        <w:rPr>
          <w:rFonts w:asciiTheme="minorHAnsi" w:hAnsiTheme="minorHAnsi"/>
        </w:rPr>
        <w:t xml:space="preserve"> - </w:t>
      </w:r>
      <w:r w:rsidR="00854FB6">
        <w:rPr>
          <w:rFonts w:asciiTheme="minorHAnsi" w:hAnsiTheme="minorHAnsi"/>
        </w:rPr>
        <w:t xml:space="preserve"> Naplaćeni prihodi budućih razdoblja odnose se na donaciju lijekova koja će biti utrošena u narednoj godini.</w:t>
      </w:r>
      <w:r w:rsidR="005B0FF2" w:rsidRPr="00C5075D">
        <w:rPr>
          <w:rFonts w:asciiTheme="minorHAnsi" w:hAnsiTheme="minorHAnsi"/>
        </w:rPr>
        <w:t xml:space="preserve"> </w:t>
      </w:r>
    </w:p>
    <w:p w14:paraId="02FBCC73" w14:textId="77777777" w:rsidR="005B0FF2" w:rsidRPr="00C5075D" w:rsidRDefault="005B0FF2" w:rsidP="008A554D">
      <w:pPr>
        <w:jc w:val="both"/>
        <w:rPr>
          <w:rFonts w:asciiTheme="minorHAnsi" w:hAnsiTheme="minorHAnsi"/>
        </w:rPr>
      </w:pPr>
    </w:p>
    <w:p w14:paraId="10DF039D" w14:textId="77777777" w:rsidR="005B0FF2" w:rsidRPr="00C5075D" w:rsidRDefault="005B0FF2" w:rsidP="008A554D">
      <w:pPr>
        <w:jc w:val="both"/>
        <w:rPr>
          <w:rFonts w:asciiTheme="minorHAnsi" w:hAnsiTheme="minorHAnsi"/>
          <w:b/>
          <w:i/>
        </w:rPr>
      </w:pPr>
      <w:r w:rsidRPr="00C5075D">
        <w:rPr>
          <w:rFonts w:asciiTheme="minorHAnsi" w:hAnsiTheme="minorHAnsi"/>
          <w:b/>
          <w:i/>
        </w:rPr>
        <w:t>Obveze</w:t>
      </w:r>
    </w:p>
    <w:p w14:paraId="5C0D9ABC" w14:textId="77777777" w:rsidR="008940B4" w:rsidRDefault="008940B4" w:rsidP="008A55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5B0FF2" w:rsidRPr="00C5075D">
        <w:rPr>
          <w:rFonts w:asciiTheme="minorHAnsi" w:hAnsiTheme="minorHAnsi"/>
        </w:rPr>
        <w:t xml:space="preserve">AOP 163 - Ukupne obveze povećane su se za </w:t>
      </w:r>
      <w:r w:rsidR="005B0FF2">
        <w:rPr>
          <w:rFonts w:asciiTheme="minorHAnsi" w:hAnsiTheme="minorHAnsi"/>
        </w:rPr>
        <w:t>1</w:t>
      </w:r>
      <w:r w:rsidR="00E0128B">
        <w:rPr>
          <w:rFonts w:asciiTheme="minorHAnsi" w:hAnsiTheme="minorHAnsi"/>
        </w:rPr>
        <w:t>3</w:t>
      </w:r>
      <w:r w:rsidR="005B0FF2" w:rsidRPr="00C5075D">
        <w:rPr>
          <w:rFonts w:asciiTheme="minorHAnsi" w:hAnsiTheme="minorHAnsi"/>
        </w:rPr>
        <w:t xml:space="preserve">%, odnosno za </w:t>
      </w:r>
      <w:r w:rsidR="005B0FF2">
        <w:rPr>
          <w:rFonts w:asciiTheme="minorHAnsi" w:hAnsiTheme="minorHAnsi"/>
        </w:rPr>
        <w:t>4.</w:t>
      </w:r>
      <w:r w:rsidR="00E0128B">
        <w:rPr>
          <w:rFonts w:asciiTheme="minorHAnsi" w:hAnsiTheme="minorHAnsi"/>
        </w:rPr>
        <w:t>264.485</w:t>
      </w:r>
      <w:r w:rsidR="005B0FF2" w:rsidRPr="00C5075D">
        <w:rPr>
          <w:rFonts w:asciiTheme="minorHAnsi" w:hAnsiTheme="minorHAnsi"/>
        </w:rPr>
        <w:t xml:space="preserve"> kn u odnosu na prethodnu godinu zbog porasta obveza za materijalne rashode iskazanih na AOP - 166  </w:t>
      </w:r>
      <w:r w:rsidR="005B0FF2">
        <w:rPr>
          <w:rFonts w:asciiTheme="minorHAnsi" w:hAnsiTheme="minorHAnsi"/>
        </w:rPr>
        <w:t xml:space="preserve">iz razloga što smo podmirivali obveze za zaposlenike koji su tijekom godine bili veći zbog povećanja osnovice za plaću, a za koje nisu osigurana dodatna sredstva već smo  prvo podmirivali obveze za zaposlenike, a zatim sve druge obveze. </w:t>
      </w:r>
    </w:p>
    <w:p w14:paraId="5E3BCB51" w14:textId="438B0CF4" w:rsidR="005532F0" w:rsidRDefault="008940B4" w:rsidP="008A55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AOP 170 -</w:t>
      </w:r>
      <w:r w:rsidR="005B0FF2">
        <w:rPr>
          <w:rFonts w:asciiTheme="minorHAnsi" w:hAnsiTheme="minorHAnsi"/>
        </w:rPr>
        <w:t xml:space="preserve"> </w:t>
      </w:r>
      <w:r w:rsidR="00E0128B">
        <w:rPr>
          <w:rFonts w:asciiTheme="minorHAnsi" w:hAnsiTheme="minorHAnsi"/>
        </w:rPr>
        <w:t xml:space="preserve">Obveze za financijske rashode porasle </w:t>
      </w:r>
      <w:r>
        <w:rPr>
          <w:rFonts w:asciiTheme="minorHAnsi" w:hAnsiTheme="minorHAnsi"/>
        </w:rPr>
        <w:t xml:space="preserve">su </w:t>
      </w:r>
      <w:r w:rsidR="00E0128B">
        <w:rPr>
          <w:rFonts w:asciiTheme="minorHAnsi" w:hAnsiTheme="minorHAnsi"/>
        </w:rPr>
        <w:t>za 897.569 kuna, a odnose se na obračunate zatezne kamate zbog zakašnjenju u plaćanju obveza dobavljačima za isporučenu robu i izvršene usluge.</w:t>
      </w:r>
    </w:p>
    <w:p w14:paraId="18D850A1" w14:textId="77777777" w:rsidR="008A2F8C" w:rsidRDefault="008A2F8C" w:rsidP="008A554D">
      <w:pPr>
        <w:ind w:firstLine="60"/>
        <w:jc w:val="both"/>
        <w:rPr>
          <w:rFonts w:asciiTheme="minorHAnsi" w:hAnsiTheme="minorHAnsi"/>
          <w:b/>
        </w:rPr>
      </w:pPr>
    </w:p>
    <w:p w14:paraId="091F80D5" w14:textId="77777777" w:rsidR="00281BF2" w:rsidRDefault="00281BF2" w:rsidP="005B0FF2">
      <w:pPr>
        <w:ind w:firstLine="60"/>
        <w:rPr>
          <w:rFonts w:asciiTheme="minorHAnsi" w:hAnsiTheme="minorHAnsi"/>
          <w:b/>
        </w:rPr>
      </w:pPr>
    </w:p>
    <w:p w14:paraId="15E85892" w14:textId="77777777" w:rsidR="00281BF2" w:rsidRPr="00C5075D" w:rsidRDefault="00281BF2" w:rsidP="00281BF2">
      <w:pPr>
        <w:ind w:firstLine="60"/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>Izvan</w:t>
      </w:r>
      <w:r>
        <w:rPr>
          <w:rFonts w:asciiTheme="minorHAnsi" w:hAnsiTheme="minorHAnsi"/>
          <w:b/>
        </w:rPr>
        <w:t xml:space="preserve"> </w:t>
      </w:r>
      <w:r w:rsidRPr="00C5075D">
        <w:rPr>
          <w:rFonts w:asciiTheme="minorHAnsi" w:hAnsiTheme="minorHAnsi"/>
          <w:b/>
        </w:rPr>
        <w:t>bilančni zapisi</w:t>
      </w:r>
    </w:p>
    <w:p w14:paraId="0D9AA1CC" w14:textId="77777777" w:rsidR="00281BF2" w:rsidRPr="00C5075D" w:rsidRDefault="00281BF2" w:rsidP="00281BF2">
      <w:pPr>
        <w:rPr>
          <w:rFonts w:asciiTheme="minorHAnsi" w:hAnsiTheme="minorHAnsi"/>
          <w:b/>
        </w:rPr>
      </w:pPr>
    </w:p>
    <w:p w14:paraId="003DD0E7" w14:textId="3181F3D8" w:rsidR="00281BF2" w:rsidRPr="006B5263" w:rsidRDefault="00281BF2" w:rsidP="00281BF2">
      <w:pPr>
        <w:rPr>
          <w:rFonts w:asciiTheme="minorHAnsi" w:hAnsiTheme="minorHAnsi"/>
          <w:bCs/>
        </w:rPr>
      </w:pPr>
      <w:r w:rsidRPr="006B5263">
        <w:rPr>
          <w:rFonts w:asciiTheme="minorHAnsi" w:hAnsiTheme="minorHAnsi"/>
          <w:bCs/>
        </w:rPr>
        <w:t xml:space="preserve">Izvan bilančna evidencija </w:t>
      </w:r>
      <w:r w:rsidR="00E07DA8">
        <w:rPr>
          <w:rFonts w:asciiTheme="minorHAnsi" w:hAnsiTheme="minorHAnsi"/>
          <w:bCs/>
        </w:rPr>
        <w:t xml:space="preserve">povećana </w:t>
      </w:r>
      <w:r w:rsidR="003528AC">
        <w:rPr>
          <w:rFonts w:asciiTheme="minorHAnsi" w:hAnsiTheme="minorHAnsi"/>
          <w:bCs/>
        </w:rPr>
        <w:t xml:space="preserve">u odnosu na početno stanje </w:t>
      </w:r>
      <w:r w:rsidR="00E07DA8">
        <w:rPr>
          <w:rFonts w:asciiTheme="minorHAnsi" w:hAnsiTheme="minorHAnsi"/>
          <w:bCs/>
        </w:rPr>
        <w:t xml:space="preserve">zbog evidentiranih primljenih zadužnica tijekom 2019. godine te </w:t>
      </w:r>
      <w:r w:rsidRPr="006B5263">
        <w:rPr>
          <w:rFonts w:asciiTheme="minorHAnsi" w:hAnsiTheme="minorHAnsi"/>
          <w:bCs/>
        </w:rPr>
        <w:t xml:space="preserve"> </w:t>
      </w:r>
      <w:r w:rsidR="00E07DA8">
        <w:rPr>
          <w:rFonts w:asciiTheme="minorHAnsi" w:hAnsiTheme="minorHAnsi"/>
          <w:bCs/>
        </w:rPr>
        <w:t>evidentiranih sudskih sporova.</w:t>
      </w:r>
    </w:p>
    <w:p w14:paraId="06E71427" w14:textId="77777777" w:rsidR="00281BF2" w:rsidRDefault="00281BF2" w:rsidP="005B0FF2">
      <w:pPr>
        <w:ind w:firstLine="60"/>
        <w:rPr>
          <w:rFonts w:asciiTheme="minorHAnsi" w:hAnsiTheme="minorHAnsi"/>
          <w:b/>
        </w:rPr>
        <w:sectPr w:rsidR="00281BF2" w:rsidSect="00CC10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DCA530" w14:textId="4F04E0DE" w:rsidR="008A2F8C" w:rsidRDefault="008A2F8C" w:rsidP="008A2F8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Popis </w:t>
      </w:r>
      <w:r w:rsidR="0068203C">
        <w:rPr>
          <w:rFonts w:asciiTheme="minorHAnsi" w:hAnsiTheme="minorHAnsi"/>
          <w:b/>
        </w:rPr>
        <w:t>sudskih sporova u tijeku na dan</w:t>
      </w:r>
      <w:r>
        <w:rPr>
          <w:rFonts w:asciiTheme="minorHAnsi" w:hAnsiTheme="minorHAnsi"/>
          <w:b/>
        </w:rPr>
        <w:t xml:space="preserve"> 31. 12. 2019. godine</w:t>
      </w:r>
    </w:p>
    <w:p w14:paraId="455D49D1" w14:textId="77777777" w:rsidR="008A2F8C" w:rsidRDefault="008A2F8C" w:rsidP="008A2F8C">
      <w:pPr>
        <w:rPr>
          <w:rFonts w:asciiTheme="minorHAnsi" w:hAnsiTheme="minorHAnsi"/>
        </w:rPr>
      </w:pPr>
    </w:p>
    <w:p w14:paraId="6E5D9443" w14:textId="7A630CE8" w:rsidR="0014440E" w:rsidRPr="00C155F1" w:rsidRDefault="0014440E" w:rsidP="0014440E">
      <w:pPr>
        <w:rPr>
          <w:rFonts w:asciiTheme="minorHAnsi" w:hAnsiTheme="minorHAnsi"/>
          <w:b/>
          <w:bCs/>
        </w:rPr>
      </w:pPr>
      <w:bookmarkStart w:id="2" w:name="_Hlk31101765"/>
      <w:r w:rsidRPr="00C155F1">
        <w:rPr>
          <w:rFonts w:asciiTheme="minorHAnsi" w:hAnsiTheme="minorHAnsi"/>
          <w:b/>
          <w:bCs/>
        </w:rPr>
        <w:t xml:space="preserve">Sudski sporovi pokrenuti protiv </w:t>
      </w:r>
      <w:r w:rsidR="00281BF2" w:rsidRPr="00C155F1">
        <w:rPr>
          <w:rFonts w:asciiTheme="minorHAnsi" w:hAnsiTheme="minorHAnsi"/>
          <w:b/>
          <w:bCs/>
        </w:rPr>
        <w:t xml:space="preserve">bolnice </w:t>
      </w:r>
    </w:p>
    <w:p w14:paraId="4F801E2C" w14:textId="77777777" w:rsidR="00C155F1" w:rsidRPr="003528AC" w:rsidRDefault="00C155F1" w:rsidP="0014440E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1"/>
        <w:gridCol w:w="1949"/>
        <w:gridCol w:w="1559"/>
        <w:gridCol w:w="4394"/>
        <w:gridCol w:w="1701"/>
        <w:gridCol w:w="1701"/>
        <w:gridCol w:w="1979"/>
      </w:tblGrid>
      <w:tr w:rsidR="0014440E" w:rsidRPr="003528AC" w14:paraId="7D830957" w14:textId="77777777" w:rsidTr="0014440E">
        <w:tc>
          <w:tcPr>
            <w:tcW w:w="711" w:type="dxa"/>
          </w:tcPr>
          <w:bookmarkEnd w:id="2"/>
          <w:p w14:paraId="170DC63A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R.br.</w:t>
            </w:r>
          </w:p>
        </w:tc>
        <w:tc>
          <w:tcPr>
            <w:tcW w:w="1949" w:type="dxa"/>
          </w:tcPr>
          <w:p w14:paraId="067A6A87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Naziv suda</w:t>
            </w:r>
          </w:p>
        </w:tc>
        <w:tc>
          <w:tcPr>
            <w:tcW w:w="1559" w:type="dxa"/>
          </w:tcPr>
          <w:p w14:paraId="21556D26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Broj predmeta</w:t>
            </w:r>
          </w:p>
        </w:tc>
        <w:tc>
          <w:tcPr>
            <w:tcW w:w="4394" w:type="dxa"/>
          </w:tcPr>
          <w:p w14:paraId="654915CE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Opis prirode spora</w:t>
            </w:r>
          </w:p>
        </w:tc>
        <w:tc>
          <w:tcPr>
            <w:tcW w:w="1701" w:type="dxa"/>
          </w:tcPr>
          <w:p w14:paraId="3FD67938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Procjena financijskog učinka kao obveza</w:t>
            </w:r>
          </w:p>
        </w:tc>
        <w:tc>
          <w:tcPr>
            <w:tcW w:w="1701" w:type="dxa"/>
          </w:tcPr>
          <w:p w14:paraId="21F53D13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Procjena financijskog učinka kao imovina</w:t>
            </w:r>
          </w:p>
        </w:tc>
        <w:tc>
          <w:tcPr>
            <w:tcW w:w="1979" w:type="dxa"/>
          </w:tcPr>
          <w:p w14:paraId="5834D2AD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Procjena vremena odljeva-priljeva financijskih sredstava*</w:t>
            </w:r>
          </w:p>
        </w:tc>
      </w:tr>
      <w:tr w:rsidR="0014440E" w:rsidRPr="003528AC" w14:paraId="40791B21" w14:textId="77777777" w:rsidTr="0014440E">
        <w:tc>
          <w:tcPr>
            <w:tcW w:w="711" w:type="dxa"/>
          </w:tcPr>
          <w:p w14:paraId="270A4E49" w14:textId="77777777" w:rsidR="0014440E" w:rsidRPr="003528AC" w:rsidRDefault="0014440E" w:rsidP="00E07D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949" w:type="dxa"/>
          </w:tcPr>
          <w:p w14:paraId="516A0DC7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Vrhovni sud Republike Hrvatske</w:t>
            </w:r>
          </w:p>
        </w:tc>
        <w:tc>
          <w:tcPr>
            <w:tcW w:w="1559" w:type="dxa"/>
          </w:tcPr>
          <w:p w14:paraId="6C9F5B2A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528AC">
              <w:rPr>
                <w:rFonts w:asciiTheme="minorHAnsi" w:hAnsiTheme="minorHAnsi"/>
                <w:sz w:val="22"/>
                <w:szCs w:val="22"/>
              </w:rPr>
              <w:t>Rev</w:t>
            </w:r>
            <w:proofErr w:type="spellEnd"/>
            <w:r w:rsidRPr="003528AC">
              <w:rPr>
                <w:rFonts w:asciiTheme="minorHAnsi" w:hAnsiTheme="minorHAnsi"/>
                <w:sz w:val="22"/>
                <w:szCs w:val="22"/>
              </w:rPr>
              <w:t>-68/2017</w:t>
            </w:r>
          </w:p>
        </w:tc>
        <w:tc>
          <w:tcPr>
            <w:tcW w:w="4394" w:type="dxa"/>
          </w:tcPr>
          <w:p w14:paraId="38794C39" w14:textId="78E23242" w:rsidR="0014440E" w:rsidRPr="003528AC" w:rsidRDefault="0014440E" w:rsidP="0014440E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 xml:space="preserve">Tužba radi naknade štete </w:t>
            </w:r>
          </w:p>
        </w:tc>
        <w:tc>
          <w:tcPr>
            <w:tcW w:w="1701" w:type="dxa"/>
          </w:tcPr>
          <w:p w14:paraId="206E0B30" w14:textId="77777777" w:rsidR="0014440E" w:rsidRPr="003528AC" w:rsidRDefault="0014440E" w:rsidP="00E07DA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360.978,36</w:t>
            </w:r>
          </w:p>
        </w:tc>
        <w:tc>
          <w:tcPr>
            <w:tcW w:w="1701" w:type="dxa"/>
          </w:tcPr>
          <w:p w14:paraId="38AFFA2B" w14:textId="77777777" w:rsidR="0014440E" w:rsidRPr="003528AC" w:rsidRDefault="0014440E" w:rsidP="00E07DA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360.978,36</w:t>
            </w:r>
          </w:p>
        </w:tc>
        <w:tc>
          <w:tcPr>
            <w:tcW w:w="1979" w:type="dxa"/>
          </w:tcPr>
          <w:p w14:paraId="521D1345" w14:textId="77777777" w:rsidR="0014440E" w:rsidRPr="003528AC" w:rsidRDefault="0014440E" w:rsidP="00E07D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2021.</w:t>
            </w:r>
          </w:p>
        </w:tc>
      </w:tr>
      <w:tr w:rsidR="0014440E" w:rsidRPr="003528AC" w14:paraId="77721615" w14:textId="77777777" w:rsidTr="0014440E">
        <w:tc>
          <w:tcPr>
            <w:tcW w:w="711" w:type="dxa"/>
          </w:tcPr>
          <w:p w14:paraId="01128B65" w14:textId="77777777" w:rsidR="0014440E" w:rsidRPr="003528AC" w:rsidRDefault="0014440E" w:rsidP="00E07D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3" w:name="_Hlk31270961"/>
            <w:r w:rsidRPr="003528AC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949" w:type="dxa"/>
          </w:tcPr>
          <w:p w14:paraId="3F7A6354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Trgovački sud u Zagrebu</w:t>
            </w:r>
          </w:p>
        </w:tc>
        <w:tc>
          <w:tcPr>
            <w:tcW w:w="1559" w:type="dxa"/>
          </w:tcPr>
          <w:p w14:paraId="55416BDA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528AC">
              <w:rPr>
                <w:rFonts w:asciiTheme="minorHAnsi" w:hAnsiTheme="minorHAnsi"/>
                <w:sz w:val="22"/>
                <w:szCs w:val="22"/>
              </w:rPr>
              <w:t>Povrv</w:t>
            </w:r>
            <w:proofErr w:type="spellEnd"/>
            <w:r w:rsidRPr="003528AC">
              <w:rPr>
                <w:rFonts w:asciiTheme="minorHAnsi" w:hAnsiTheme="minorHAnsi"/>
                <w:sz w:val="22"/>
                <w:szCs w:val="22"/>
              </w:rPr>
              <w:t>-1232/2019</w:t>
            </w:r>
          </w:p>
        </w:tc>
        <w:tc>
          <w:tcPr>
            <w:tcW w:w="4394" w:type="dxa"/>
          </w:tcPr>
          <w:p w14:paraId="49D3636F" w14:textId="2512AB60" w:rsidR="0014440E" w:rsidRPr="003528AC" w:rsidRDefault="0014440E" w:rsidP="0014440E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 xml:space="preserve">Tužba radi isplate </w:t>
            </w:r>
          </w:p>
        </w:tc>
        <w:tc>
          <w:tcPr>
            <w:tcW w:w="1701" w:type="dxa"/>
          </w:tcPr>
          <w:p w14:paraId="4D9A7FFA" w14:textId="77777777" w:rsidR="0014440E" w:rsidRPr="003528AC" w:rsidRDefault="0014440E" w:rsidP="00E07DA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1.845.535,17</w:t>
            </w:r>
          </w:p>
          <w:p w14:paraId="3B2C6DD1" w14:textId="77777777" w:rsidR="0014440E" w:rsidRPr="003528AC" w:rsidRDefault="0014440E" w:rsidP="00E07DA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7DB628" w14:textId="77777777" w:rsidR="0014440E" w:rsidRPr="003528AC" w:rsidRDefault="0014440E" w:rsidP="00E07DA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9" w:type="dxa"/>
          </w:tcPr>
          <w:p w14:paraId="1BC1DE19" w14:textId="77777777" w:rsidR="0014440E" w:rsidRPr="003528AC" w:rsidRDefault="0014440E" w:rsidP="00E07D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2021.</w:t>
            </w:r>
          </w:p>
        </w:tc>
      </w:tr>
      <w:bookmarkEnd w:id="3"/>
      <w:tr w:rsidR="0014440E" w:rsidRPr="003528AC" w14:paraId="4BBD422A" w14:textId="77777777" w:rsidTr="0014440E">
        <w:tc>
          <w:tcPr>
            <w:tcW w:w="711" w:type="dxa"/>
          </w:tcPr>
          <w:p w14:paraId="6EC61BE3" w14:textId="77777777" w:rsidR="0014440E" w:rsidRPr="003528AC" w:rsidRDefault="0014440E" w:rsidP="00E07D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1949" w:type="dxa"/>
          </w:tcPr>
          <w:p w14:paraId="4128C1D6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Trgovački sud u Zagrebu</w:t>
            </w:r>
          </w:p>
        </w:tc>
        <w:tc>
          <w:tcPr>
            <w:tcW w:w="1559" w:type="dxa"/>
          </w:tcPr>
          <w:p w14:paraId="53A0F7A6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528AC">
              <w:rPr>
                <w:rFonts w:asciiTheme="minorHAnsi" w:hAnsiTheme="minorHAnsi"/>
                <w:sz w:val="22"/>
                <w:szCs w:val="22"/>
              </w:rPr>
              <w:t>Povrv</w:t>
            </w:r>
            <w:proofErr w:type="spellEnd"/>
            <w:r w:rsidRPr="003528AC">
              <w:rPr>
                <w:rFonts w:asciiTheme="minorHAnsi" w:hAnsiTheme="minorHAnsi"/>
                <w:sz w:val="22"/>
                <w:szCs w:val="22"/>
              </w:rPr>
              <w:t>-1230/2019</w:t>
            </w:r>
          </w:p>
        </w:tc>
        <w:tc>
          <w:tcPr>
            <w:tcW w:w="4394" w:type="dxa"/>
          </w:tcPr>
          <w:p w14:paraId="61496B07" w14:textId="32CD9980" w:rsidR="0014440E" w:rsidRPr="003528AC" w:rsidRDefault="0014440E" w:rsidP="0014440E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 xml:space="preserve">Tužba radi isplate </w:t>
            </w:r>
          </w:p>
        </w:tc>
        <w:tc>
          <w:tcPr>
            <w:tcW w:w="1701" w:type="dxa"/>
          </w:tcPr>
          <w:p w14:paraId="589BCF92" w14:textId="77777777" w:rsidR="0014440E" w:rsidRPr="003528AC" w:rsidRDefault="0014440E" w:rsidP="00E07DA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132.060,04</w:t>
            </w:r>
          </w:p>
        </w:tc>
        <w:tc>
          <w:tcPr>
            <w:tcW w:w="1701" w:type="dxa"/>
          </w:tcPr>
          <w:p w14:paraId="6C7700AF" w14:textId="77777777" w:rsidR="0014440E" w:rsidRPr="003528AC" w:rsidRDefault="0014440E" w:rsidP="00E07DA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9" w:type="dxa"/>
          </w:tcPr>
          <w:p w14:paraId="2C6221F3" w14:textId="77777777" w:rsidR="0014440E" w:rsidRPr="003528AC" w:rsidRDefault="0014440E" w:rsidP="00E07D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2021.</w:t>
            </w:r>
          </w:p>
        </w:tc>
      </w:tr>
      <w:tr w:rsidR="0014440E" w:rsidRPr="003528AC" w14:paraId="4B17538E" w14:textId="77777777" w:rsidTr="0014440E">
        <w:tc>
          <w:tcPr>
            <w:tcW w:w="711" w:type="dxa"/>
          </w:tcPr>
          <w:p w14:paraId="36A02BC3" w14:textId="77777777" w:rsidR="0014440E" w:rsidRPr="003528AC" w:rsidRDefault="0014440E" w:rsidP="00E07D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1949" w:type="dxa"/>
          </w:tcPr>
          <w:p w14:paraId="39BB9DE6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Općinski sud u Kutini</w:t>
            </w:r>
          </w:p>
        </w:tc>
        <w:tc>
          <w:tcPr>
            <w:tcW w:w="1559" w:type="dxa"/>
          </w:tcPr>
          <w:p w14:paraId="6DA55406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528AC">
              <w:rPr>
                <w:rFonts w:asciiTheme="minorHAnsi" w:hAnsiTheme="minorHAnsi"/>
                <w:sz w:val="22"/>
                <w:szCs w:val="22"/>
              </w:rPr>
              <w:t>Povrv</w:t>
            </w:r>
            <w:proofErr w:type="spellEnd"/>
            <w:r w:rsidRPr="003528AC">
              <w:rPr>
                <w:rFonts w:asciiTheme="minorHAnsi" w:hAnsiTheme="minorHAnsi"/>
                <w:sz w:val="22"/>
                <w:szCs w:val="22"/>
              </w:rPr>
              <w:t>-296/2019</w:t>
            </w:r>
          </w:p>
        </w:tc>
        <w:tc>
          <w:tcPr>
            <w:tcW w:w="4394" w:type="dxa"/>
          </w:tcPr>
          <w:p w14:paraId="7A95515A" w14:textId="030CA4ED" w:rsidR="0014440E" w:rsidRPr="003528AC" w:rsidRDefault="0014440E" w:rsidP="0014440E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 xml:space="preserve">Tužba radi isplate </w:t>
            </w:r>
          </w:p>
        </w:tc>
        <w:tc>
          <w:tcPr>
            <w:tcW w:w="1701" w:type="dxa"/>
          </w:tcPr>
          <w:p w14:paraId="4D5EEE8B" w14:textId="77777777" w:rsidR="0014440E" w:rsidRPr="003528AC" w:rsidRDefault="0014440E" w:rsidP="00E07DA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2.854.440,73</w:t>
            </w:r>
          </w:p>
        </w:tc>
        <w:tc>
          <w:tcPr>
            <w:tcW w:w="1701" w:type="dxa"/>
          </w:tcPr>
          <w:p w14:paraId="4DF22648" w14:textId="77777777" w:rsidR="0014440E" w:rsidRPr="003528AC" w:rsidRDefault="0014440E" w:rsidP="00E07DA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9" w:type="dxa"/>
          </w:tcPr>
          <w:p w14:paraId="5DB3858D" w14:textId="77777777" w:rsidR="0014440E" w:rsidRPr="003528AC" w:rsidRDefault="0014440E" w:rsidP="00E07D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2021.</w:t>
            </w:r>
          </w:p>
        </w:tc>
      </w:tr>
      <w:tr w:rsidR="0014440E" w:rsidRPr="003528AC" w14:paraId="1245B20E" w14:textId="77777777" w:rsidTr="0014440E">
        <w:tc>
          <w:tcPr>
            <w:tcW w:w="711" w:type="dxa"/>
          </w:tcPr>
          <w:p w14:paraId="58ED468D" w14:textId="77777777" w:rsidR="0014440E" w:rsidRPr="003528AC" w:rsidRDefault="0014440E" w:rsidP="00E07D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1949" w:type="dxa"/>
          </w:tcPr>
          <w:p w14:paraId="21B87281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Trgovački sud u Zagrebu</w:t>
            </w:r>
          </w:p>
        </w:tc>
        <w:tc>
          <w:tcPr>
            <w:tcW w:w="1559" w:type="dxa"/>
          </w:tcPr>
          <w:p w14:paraId="3C0D8C31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528AC">
              <w:rPr>
                <w:rFonts w:asciiTheme="minorHAnsi" w:hAnsiTheme="minorHAnsi"/>
                <w:sz w:val="22"/>
                <w:szCs w:val="22"/>
              </w:rPr>
              <w:t>Povrv</w:t>
            </w:r>
            <w:proofErr w:type="spellEnd"/>
            <w:r w:rsidRPr="003528AC">
              <w:rPr>
                <w:rFonts w:asciiTheme="minorHAnsi" w:hAnsiTheme="minorHAnsi"/>
                <w:sz w:val="22"/>
                <w:szCs w:val="22"/>
              </w:rPr>
              <w:t>-3654/2019</w:t>
            </w:r>
          </w:p>
        </w:tc>
        <w:tc>
          <w:tcPr>
            <w:tcW w:w="4394" w:type="dxa"/>
          </w:tcPr>
          <w:p w14:paraId="6EC7F8A8" w14:textId="72FB9325" w:rsidR="0014440E" w:rsidRPr="003528AC" w:rsidRDefault="0014440E" w:rsidP="0014440E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 xml:space="preserve">Tužba radi isplate </w:t>
            </w:r>
          </w:p>
        </w:tc>
        <w:tc>
          <w:tcPr>
            <w:tcW w:w="1701" w:type="dxa"/>
          </w:tcPr>
          <w:p w14:paraId="089B4277" w14:textId="77777777" w:rsidR="0014440E" w:rsidRPr="003528AC" w:rsidRDefault="0014440E" w:rsidP="00E07DA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379.508,13</w:t>
            </w:r>
          </w:p>
        </w:tc>
        <w:tc>
          <w:tcPr>
            <w:tcW w:w="1701" w:type="dxa"/>
          </w:tcPr>
          <w:p w14:paraId="47518567" w14:textId="77777777" w:rsidR="0014440E" w:rsidRPr="003528AC" w:rsidRDefault="0014440E" w:rsidP="00E07DA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9" w:type="dxa"/>
          </w:tcPr>
          <w:p w14:paraId="1D77A6C6" w14:textId="77777777" w:rsidR="0014440E" w:rsidRPr="003528AC" w:rsidRDefault="0014440E" w:rsidP="00E07D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2021.</w:t>
            </w:r>
          </w:p>
        </w:tc>
      </w:tr>
      <w:tr w:rsidR="0014440E" w:rsidRPr="003528AC" w14:paraId="7DD43A4B" w14:textId="77777777" w:rsidTr="0014440E">
        <w:tc>
          <w:tcPr>
            <w:tcW w:w="711" w:type="dxa"/>
          </w:tcPr>
          <w:p w14:paraId="16CC7870" w14:textId="77777777" w:rsidR="0014440E" w:rsidRPr="003528AC" w:rsidRDefault="0014440E" w:rsidP="00E07D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1949" w:type="dxa"/>
          </w:tcPr>
          <w:p w14:paraId="3D3520C0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Vrhovni sud Republike Hrvatske</w:t>
            </w:r>
          </w:p>
        </w:tc>
        <w:tc>
          <w:tcPr>
            <w:tcW w:w="1559" w:type="dxa"/>
          </w:tcPr>
          <w:p w14:paraId="3A364B34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528AC">
              <w:rPr>
                <w:rFonts w:asciiTheme="minorHAnsi" w:hAnsiTheme="minorHAnsi"/>
                <w:sz w:val="22"/>
                <w:szCs w:val="22"/>
              </w:rPr>
              <w:t>Rev</w:t>
            </w:r>
            <w:proofErr w:type="spellEnd"/>
            <w:r w:rsidRPr="003528AC">
              <w:rPr>
                <w:rFonts w:asciiTheme="minorHAnsi" w:hAnsiTheme="minorHAnsi"/>
                <w:sz w:val="22"/>
                <w:szCs w:val="22"/>
              </w:rPr>
              <w:t>-1078/2019</w:t>
            </w:r>
          </w:p>
        </w:tc>
        <w:tc>
          <w:tcPr>
            <w:tcW w:w="4394" w:type="dxa"/>
          </w:tcPr>
          <w:p w14:paraId="4FEFE17B" w14:textId="76327B33" w:rsidR="0014440E" w:rsidRPr="003528AC" w:rsidRDefault="0014440E" w:rsidP="0014440E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 xml:space="preserve">Tužba radi naknade štete </w:t>
            </w:r>
          </w:p>
        </w:tc>
        <w:tc>
          <w:tcPr>
            <w:tcW w:w="1701" w:type="dxa"/>
          </w:tcPr>
          <w:p w14:paraId="40AA127C" w14:textId="77777777" w:rsidR="0014440E" w:rsidRPr="003528AC" w:rsidRDefault="0014440E" w:rsidP="00E07DA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520.000,00</w:t>
            </w:r>
          </w:p>
        </w:tc>
        <w:tc>
          <w:tcPr>
            <w:tcW w:w="1701" w:type="dxa"/>
          </w:tcPr>
          <w:p w14:paraId="579400FA" w14:textId="77777777" w:rsidR="0014440E" w:rsidRPr="003528AC" w:rsidRDefault="0014440E" w:rsidP="00E07DA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29.375,00</w:t>
            </w:r>
          </w:p>
        </w:tc>
        <w:tc>
          <w:tcPr>
            <w:tcW w:w="1979" w:type="dxa"/>
          </w:tcPr>
          <w:p w14:paraId="63F6602B" w14:textId="77777777" w:rsidR="0014440E" w:rsidRPr="003528AC" w:rsidRDefault="0014440E" w:rsidP="00E07D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2021.</w:t>
            </w:r>
          </w:p>
        </w:tc>
      </w:tr>
      <w:tr w:rsidR="0014440E" w:rsidRPr="003528AC" w14:paraId="5651B5CF" w14:textId="77777777" w:rsidTr="0014440E">
        <w:tc>
          <w:tcPr>
            <w:tcW w:w="711" w:type="dxa"/>
          </w:tcPr>
          <w:p w14:paraId="51CD45EF" w14:textId="77777777" w:rsidR="0014440E" w:rsidRPr="003528AC" w:rsidRDefault="0014440E" w:rsidP="00E07D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1949" w:type="dxa"/>
          </w:tcPr>
          <w:p w14:paraId="4B00B0E0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Trgovački sud u Zagrebu</w:t>
            </w:r>
          </w:p>
        </w:tc>
        <w:tc>
          <w:tcPr>
            <w:tcW w:w="1559" w:type="dxa"/>
          </w:tcPr>
          <w:p w14:paraId="748E4D0D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528AC">
              <w:rPr>
                <w:rFonts w:asciiTheme="minorHAnsi" w:hAnsiTheme="minorHAnsi"/>
                <w:sz w:val="22"/>
                <w:szCs w:val="22"/>
              </w:rPr>
              <w:t>Povrv</w:t>
            </w:r>
            <w:proofErr w:type="spellEnd"/>
            <w:r w:rsidRPr="003528AC">
              <w:rPr>
                <w:rFonts w:asciiTheme="minorHAnsi" w:hAnsiTheme="minorHAnsi"/>
                <w:sz w:val="22"/>
                <w:szCs w:val="22"/>
              </w:rPr>
              <w:t>-1744/19</w:t>
            </w:r>
          </w:p>
        </w:tc>
        <w:tc>
          <w:tcPr>
            <w:tcW w:w="4394" w:type="dxa"/>
          </w:tcPr>
          <w:p w14:paraId="122ED719" w14:textId="0D734251" w:rsidR="0014440E" w:rsidRPr="003528AC" w:rsidRDefault="0014440E" w:rsidP="0014440E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 xml:space="preserve">Tužba radi isplate </w:t>
            </w:r>
          </w:p>
        </w:tc>
        <w:tc>
          <w:tcPr>
            <w:tcW w:w="1701" w:type="dxa"/>
          </w:tcPr>
          <w:p w14:paraId="29FE98CC" w14:textId="77777777" w:rsidR="0014440E" w:rsidRPr="003528AC" w:rsidRDefault="0014440E" w:rsidP="00E07DA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490.345,07</w:t>
            </w:r>
          </w:p>
        </w:tc>
        <w:tc>
          <w:tcPr>
            <w:tcW w:w="1701" w:type="dxa"/>
          </w:tcPr>
          <w:p w14:paraId="2738A539" w14:textId="77777777" w:rsidR="0014440E" w:rsidRPr="003528AC" w:rsidRDefault="0014440E" w:rsidP="00E07DA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9" w:type="dxa"/>
          </w:tcPr>
          <w:p w14:paraId="432750C0" w14:textId="77777777" w:rsidR="0014440E" w:rsidRPr="003528AC" w:rsidRDefault="0014440E" w:rsidP="00E07D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2020.</w:t>
            </w:r>
          </w:p>
        </w:tc>
      </w:tr>
      <w:tr w:rsidR="0014440E" w:rsidRPr="003528AC" w14:paraId="61A473DA" w14:textId="77777777" w:rsidTr="0014440E">
        <w:tc>
          <w:tcPr>
            <w:tcW w:w="711" w:type="dxa"/>
          </w:tcPr>
          <w:p w14:paraId="17B89ACC" w14:textId="77777777" w:rsidR="0014440E" w:rsidRPr="003528AC" w:rsidRDefault="0014440E" w:rsidP="00E07D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1949" w:type="dxa"/>
          </w:tcPr>
          <w:p w14:paraId="20173A5C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Općinski sud u Sisku</w:t>
            </w:r>
          </w:p>
        </w:tc>
        <w:tc>
          <w:tcPr>
            <w:tcW w:w="1559" w:type="dxa"/>
          </w:tcPr>
          <w:p w14:paraId="3626A261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528AC">
              <w:rPr>
                <w:rFonts w:asciiTheme="minorHAnsi" w:hAnsiTheme="minorHAnsi"/>
                <w:sz w:val="22"/>
                <w:szCs w:val="22"/>
              </w:rPr>
              <w:t>Pr</w:t>
            </w:r>
            <w:proofErr w:type="spellEnd"/>
            <w:r w:rsidRPr="003528AC">
              <w:rPr>
                <w:rFonts w:asciiTheme="minorHAnsi" w:hAnsiTheme="minorHAnsi"/>
                <w:sz w:val="22"/>
                <w:szCs w:val="22"/>
              </w:rPr>
              <w:t>-48/2018</w:t>
            </w:r>
          </w:p>
        </w:tc>
        <w:tc>
          <w:tcPr>
            <w:tcW w:w="4394" w:type="dxa"/>
          </w:tcPr>
          <w:p w14:paraId="03303D9B" w14:textId="58785EDE" w:rsidR="0014440E" w:rsidRPr="003528AC" w:rsidRDefault="0014440E" w:rsidP="0014440E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 xml:space="preserve">Tužba radi isplate razlike plaće </w:t>
            </w:r>
          </w:p>
        </w:tc>
        <w:tc>
          <w:tcPr>
            <w:tcW w:w="1701" w:type="dxa"/>
          </w:tcPr>
          <w:p w14:paraId="6CB81908" w14:textId="77777777" w:rsidR="0014440E" w:rsidRPr="003528AC" w:rsidRDefault="0014440E" w:rsidP="00E07DA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28.933,08</w:t>
            </w:r>
          </w:p>
        </w:tc>
        <w:tc>
          <w:tcPr>
            <w:tcW w:w="1701" w:type="dxa"/>
          </w:tcPr>
          <w:p w14:paraId="6DA52AD0" w14:textId="77777777" w:rsidR="0014440E" w:rsidRPr="003528AC" w:rsidRDefault="0014440E" w:rsidP="00E07DA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9" w:type="dxa"/>
          </w:tcPr>
          <w:p w14:paraId="7468557C" w14:textId="77777777" w:rsidR="0014440E" w:rsidRPr="003528AC" w:rsidRDefault="0014440E" w:rsidP="00E07D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2020.</w:t>
            </w:r>
          </w:p>
        </w:tc>
      </w:tr>
    </w:tbl>
    <w:p w14:paraId="7CFD4B22" w14:textId="77777777" w:rsidR="0014440E" w:rsidRDefault="0014440E" w:rsidP="0014440E">
      <w:pPr>
        <w:rPr>
          <w:rFonts w:asciiTheme="minorHAnsi" w:hAnsiTheme="minorHAnsi"/>
          <w:sz w:val="22"/>
          <w:szCs w:val="22"/>
        </w:rPr>
      </w:pPr>
    </w:p>
    <w:p w14:paraId="7FDDE689" w14:textId="77777777" w:rsidR="003528AC" w:rsidRDefault="003528AC" w:rsidP="0014440E">
      <w:pPr>
        <w:rPr>
          <w:rFonts w:asciiTheme="minorHAnsi" w:hAnsiTheme="minorHAnsi"/>
          <w:sz w:val="22"/>
          <w:szCs w:val="22"/>
        </w:rPr>
      </w:pPr>
    </w:p>
    <w:p w14:paraId="7EE22002" w14:textId="77777777" w:rsidR="003528AC" w:rsidRDefault="003528AC" w:rsidP="0014440E">
      <w:pPr>
        <w:rPr>
          <w:rFonts w:asciiTheme="minorHAnsi" w:hAnsiTheme="minorHAnsi"/>
          <w:sz w:val="22"/>
          <w:szCs w:val="22"/>
        </w:rPr>
      </w:pPr>
    </w:p>
    <w:p w14:paraId="43F2F1E0" w14:textId="77777777" w:rsidR="003528AC" w:rsidRDefault="003528AC" w:rsidP="0014440E">
      <w:pPr>
        <w:rPr>
          <w:rFonts w:asciiTheme="minorHAnsi" w:hAnsiTheme="minorHAnsi"/>
          <w:sz w:val="22"/>
          <w:szCs w:val="22"/>
        </w:rPr>
      </w:pPr>
    </w:p>
    <w:p w14:paraId="5A35EFAC" w14:textId="77777777" w:rsidR="003528AC" w:rsidRDefault="003528AC" w:rsidP="0014440E">
      <w:pPr>
        <w:rPr>
          <w:rFonts w:asciiTheme="minorHAnsi" w:hAnsiTheme="minorHAnsi"/>
          <w:sz w:val="22"/>
          <w:szCs w:val="22"/>
        </w:rPr>
      </w:pPr>
    </w:p>
    <w:p w14:paraId="62387665" w14:textId="77777777" w:rsidR="003528AC" w:rsidRDefault="003528AC" w:rsidP="0014440E">
      <w:pPr>
        <w:rPr>
          <w:rFonts w:asciiTheme="minorHAnsi" w:hAnsiTheme="minorHAnsi"/>
          <w:sz w:val="22"/>
          <w:szCs w:val="22"/>
        </w:rPr>
      </w:pPr>
    </w:p>
    <w:p w14:paraId="2B22E386" w14:textId="77777777" w:rsidR="003528AC" w:rsidRPr="003528AC" w:rsidRDefault="003528AC" w:rsidP="0014440E">
      <w:pPr>
        <w:rPr>
          <w:rFonts w:asciiTheme="minorHAnsi" w:hAnsiTheme="minorHAnsi"/>
          <w:sz w:val="22"/>
          <w:szCs w:val="22"/>
        </w:rPr>
      </w:pPr>
    </w:p>
    <w:p w14:paraId="7B60E356" w14:textId="77777777" w:rsidR="008E7772" w:rsidRPr="003528AC" w:rsidRDefault="008E7772" w:rsidP="0014440E">
      <w:pPr>
        <w:rPr>
          <w:rFonts w:asciiTheme="minorHAnsi" w:hAnsiTheme="minorHAnsi"/>
          <w:b/>
          <w:bCs/>
          <w:sz w:val="22"/>
          <w:szCs w:val="22"/>
        </w:rPr>
      </w:pPr>
    </w:p>
    <w:p w14:paraId="4EFE56FF" w14:textId="77777777" w:rsidR="008E7772" w:rsidRPr="003528AC" w:rsidRDefault="008E7772" w:rsidP="0014440E">
      <w:pPr>
        <w:rPr>
          <w:rFonts w:asciiTheme="minorHAnsi" w:hAnsiTheme="minorHAnsi"/>
          <w:b/>
          <w:bCs/>
          <w:sz w:val="22"/>
          <w:szCs w:val="22"/>
        </w:rPr>
      </w:pPr>
    </w:p>
    <w:p w14:paraId="027EA38D" w14:textId="77777777" w:rsidR="00281BF2" w:rsidRPr="003528AC" w:rsidRDefault="00281BF2" w:rsidP="0014440E">
      <w:pPr>
        <w:rPr>
          <w:rFonts w:asciiTheme="minorHAnsi" w:hAnsiTheme="minorHAnsi"/>
          <w:b/>
          <w:bCs/>
          <w:sz w:val="22"/>
          <w:szCs w:val="22"/>
        </w:rPr>
      </w:pPr>
    </w:p>
    <w:p w14:paraId="309D72DE" w14:textId="67FEDBC8" w:rsidR="0014440E" w:rsidRPr="00C155F1" w:rsidRDefault="0014440E" w:rsidP="0014440E">
      <w:pPr>
        <w:rPr>
          <w:rFonts w:asciiTheme="minorHAnsi" w:hAnsiTheme="minorHAnsi"/>
          <w:b/>
          <w:bCs/>
        </w:rPr>
      </w:pPr>
      <w:r w:rsidRPr="00C155F1">
        <w:rPr>
          <w:rFonts w:asciiTheme="minorHAnsi" w:hAnsiTheme="minorHAnsi"/>
          <w:b/>
          <w:bCs/>
        </w:rPr>
        <w:t xml:space="preserve">Sudski sporovi koje je pokrenula </w:t>
      </w:r>
      <w:r w:rsidR="00281BF2" w:rsidRPr="00C155F1">
        <w:rPr>
          <w:rFonts w:asciiTheme="minorHAnsi" w:hAnsiTheme="minorHAnsi"/>
          <w:b/>
          <w:bCs/>
        </w:rPr>
        <w:t>bolnica</w:t>
      </w:r>
    </w:p>
    <w:p w14:paraId="3F62E1E0" w14:textId="77777777" w:rsidR="00C155F1" w:rsidRPr="003528AC" w:rsidRDefault="00C155F1" w:rsidP="0014440E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1"/>
        <w:gridCol w:w="1949"/>
        <w:gridCol w:w="1559"/>
        <w:gridCol w:w="4394"/>
        <w:gridCol w:w="1560"/>
        <w:gridCol w:w="1842"/>
        <w:gridCol w:w="1979"/>
      </w:tblGrid>
      <w:tr w:rsidR="0014440E" w:rsidRPr="003528AC" w14:paraId="2A7D0D79" w14:textId="77777777" w:rsidTr="00281BF2">
        <w:tc>
          <w:tcPr>
            <w:tcW w:w="711" w:type="dxa"/>
          </w:tcPr>
          <w:p w14:paraId="234C7203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R.br.</w:t>
            </w:r>
          </w:p>
        </w:tc>
        <w:tc>
          <w:tcPr>
            <w:tcW w:w="1949" w:type="dxa"/>
          </w:tcPr>
          <w:p w14:paraId="46BE9BE1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Naziv suda</w:t>
            </w:r>
          </w:p>
        </w:tc>
        <w:tc>
          <w:tcPr>
            <w:tcW w:w="1559" w:type="dxa"/>
          </w:tcPr>
          <w:p w14:paraId="196EE8D2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Broj predmeta</w:t>
            </w:r>
          </w:p>
        </w:tc>
        <w:tc>
          <w:tcPr>
            <w:tcW w:w="4394" w:type="dxa"/>
          </w:tcPr>
          <w:p w14:paraId="4EE69136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Opis prirode spora</w:t>
            </w:r>
          </w:p>
        </w:tc>
        <w:tc>
          <w:tcPr>
            <w:tcW w:w="1560" w:type="dxa"/>
          </w:tcPr>
          <w:p w14:paraId="7E5DA50C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Procjena financijskog učinka kao obveza</w:t>
            </w:r>
          </w:p>
        </w:tc>
        <w:tc>
          <w:tcPr>
            <w:tcW w:w="1842" w:type="dxa"/>
          </w:tcPr>
          <w:p w14:paraId="6991B4CB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Procjena financijskog učinka kao imovina</w:t>
            </w:r>
          </w:p>
        </w:tc>
        <w:tc>
          <w:tcPr>
            <w:tcW w:w="1979" w:type="dxa"/>
          </w:tcPr>
          <w:p w14:paraId="15D1BE45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Procjena vremena odljeva-priljeva financijskih sredstava*</w:t>
            </w:r>
          </w:p>
        </w:tc>
      </w:tr>
      <w:tr w:rsidR="0014440E" w:rsidRPr="003528AC" w14:paraId="53501777" w14:textId="77777777" w:rsidTr="00281BF2">
        <w:tc>
          <w:tcPr>
            <w:tcW w:w="711" w:type="dxa"/>
          </w:tcPr>
          <w:p w14:paraId="1A7A9B79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949" w:type="dxa"/>
          </w:tcPr>
          <w:p w14:paraId="6CAB337E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Županijski sud u Sisku</w:t>
            </w:r>
          </w:p>
        </w:tc>
        <w:tc>
          <w:tcPr>
            <w:tcW w:w="1559" w:type="dxa"/>
          </w:tcPr>
          <w:p w14:paraId="7EE34E00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528AC">
              <w:rPr>
                <w:rFonts w:asciiTheme="minorHAnsi" w:hAnsiTheme="minorHAnsi"/>
                <w:sz w:val="22"/>
                <w:szCs w:val="22"/>
              </w:rPr>
              <w:t>Gž</w:t>
            </w:r>
            <w:proofErr w:type="spellEnd"/>
            <w:r w:rsidRPr="003528AC">
              <w:rPr>
                <w:rFonts w:asciiTheme="minorHAnsi" w:hAnsiTheme="minorHAnsi"/>
                <w:sz w:val="22"/>
                <w:szCs w:val="22"/>
              </w:rPr>
              <w:t>-1790/13</w:t>
            </w:r>
          </w:p>
        </w:tc>
        <w:tc>
          <w:tcPr>
            <w:tcW w:w="4394" w:type="dxa"/>
          </w:tcPr>
          <w:p w14:paraId="71343F1F" w14:textId="3C9C7962" w:rsidR="0014440E" w:rsidRPr="003528AC" w:rsidRDefault="0014440E" w:rsidP="0014440E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 xml:space="preserve">Plaćanje troškova postupka </w:t>
            </w:r>
          </w:p>
        </w:tc>
        <w:tc>
          <w:tcPr>
            <w:tcW w:w="1560" w:type="dxa"/>
          </w:tcPr>
          <w:p w14:paraId="7C668277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3A81954" w14:textId="77777777" w:rsidR="0014440E" w:rsidRPr="003528AC" w:rsidRDefault="0014440E" w:rsidP="00E07DA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86.875,00</w:t>
            </w:r>
          </w:p>
        </w:tc>
        <w:tc>
          <w:tcPr>
            <w:tcW w:w="1979" w:type="dxa"/>
          </w:tcPr>
          <w:p w14:paraId="62E05600" w14:textId="77777777" w:rsidR="0014440E" w:rsidRPr="003528AC" w:rsidRDefault="0014440E" w:rsidP="00E07D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2022.</w:t>
            </w:r>
          </w:p>
        </w:tc>
      </w:tr>
      <w:tr w:rsidR="0014440E" w:rsidRPr="003528AC" w14:paraId="4075ADA6" w14:textId="77777777" w:rsidTr="00281BF2">
        <w:tc>
          <w:tcPr>
            <w:tcW w:w="711" w:type="dxa"/>
          </w:tcPr>
          <w:p w14:paraId="42A1056D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949" w:type="dxa"/>
          </w:tcPr>
          <w:p w14:paraId="3659EE3B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Vrhovni sud Republike Hrvatske</w:t>
            </w:r>
          </w:p>
        </w:tc>
        <w:tc>
          <w:tcPr>
            <w:tcW w:w="1559" w:type="dxa"/>
          </w:tcPr>
          <w:p w14:paraId="331519C9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528AC">
              <w:rPr>
                <w:rFonts w:asciiTheme="minorHAnsi" w:hAnsiTheme="minorHAnsi"/>
                <w:sz w:val="22"/>
                <w:szCs w:val="22"/>
              </w:rPr>
              <w:t>Rev</w:t>
            </w:r>
            <w:proofErr w:type="spellEnd"/>
            <w:r w:rsidRPr="003528AC">
              <w:rPr>
                <w:rFonts w:asciiTheme="minorHAnsi" w:hAnsiTheme="minorHAnsi"/>
                <w:sz w:val="22"/>
                <w:szCs w:val="22"/>
              </w:rPr>
              <w:t>- 1239/2014</w:t>
            </w:r>
          </w:p>
        </w:tc>
        <w:tc>
          <w:tcPr>
            <w:tcW w:w="4394" w:type="dxa"/>
          </w:tcPr>
          <w:p w14:paraId="4B8B1161" w14:textId="59E96ABC" w:rsidR="0014440E" w:rsidRPr="003528AC" w:rsidRDefault="0014440E" w:rsidP="0014440E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 xml:space="preserve">Plaćanje troškova postupka po presudi </w:t>
            </w:r>
          </w:p>
        </w:tc>
        <w:tc>
          <w:tcPr>
            <w:tcW w:w="1560" w:type="dxa"/>
          </w:tcPr>
          <w:p w14:paraId="31269C84" w14:textId="77777777" w:rsidR="0014440E" w:rsidRPr="003528AC" w:rsidRDefault="0014440E" w:rsidP="00E07DA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14F4B78" w14:textId="77777777" w:rsidR="0014440E" w:rsidRPr="003528AC" w:rsidRDefault="0014440E" w:rsidP="00E07DA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7.128,00</w:t>
            </w:r>
          </w:p>
        </w:tc>
        <w:tc>
          <w:tcPr>
            <w:tcW w:w="1979" w:type="dxa"/>
          </w:tcPr>
          <w:p w14:paraId="4A0F1A6D" w14:textId="77777777" w:rsidR="0014440E" w:rsidRPr="003528AC" w:rsidRDefault="0014440E" w:rsidP="00E07D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2021.</w:t>
            </w:r>
          </w:p>
        </w:tc>
      </w:tr>
      <w:tr w:rsidR="0014440E" w:rsidRPr="003528AC" w14:paraId="6B521CE8" w14:textId="77777777" w:rsidTr="00281BF2">
        <w:tc>
          <w:tcPr>
            <w:tcW w:w="711" w:type="dxa"/>
          </w:tcPr>
          <w:p w14:paraId="7D93A247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1949" w:type="dxa"/>
          </w:tcPr>
          <w:p w14:paraId="23C569FE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Općinski sud u Sisku</w:t>
            </w:r>
          </w:p>
        </w:tc>
        <w:tc>
          <w:tcPr>
            <w:tcW w:w="1559" w:type="dxa"/>
          </w:tcPr>
          <w:p w14:paraId="677FF3D6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K-536/18</w:t>
            </w:r>
          </w:p>
        </w:tc>
        <w:tc>
          <w:tcPr>
            <w:tcW w:w="4394" w:type="dxa"/>
          </w:tcPr>
          <w:p w14:paraId="32BA4C48" w14:textId="7C81C4E5" w:rsidR="0014440E" w:rsidRPr="003528AC" w:rsidRDefault="0014440E" w:rsidP="0014440E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 xml:space="preserve">Naknada štete </w:t>
            </w:r>
          </w:p>
        </w:tc>
        <w:tc>
          <w:tcPr>
            <w:tcW w:w="1560" w:type="dxa"/>
          </w:tcPr>
          <w:p w14:paraId="300D4371" w14:textId="77777777" w:rsidR="0014440E" w:rsidRPr="003528AC" w:rsidRDefault="0014440E" w:rsidP="00E07DA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7E1255D" w14:textId="77777777" w:rsidR="0014440E" w:rsidRPr="003528AC" w:rsidRDefault="0014440E" w:rsidP="00E07DA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17.750,00</w:t>
            </w:r>
          </w:p>
        </w:tc>
        <w:tc>
          <w:tcPr>
            <w:tcW w:w="1979" w:type="dxa"/>
          </w:tcPr>
          <w:p w14:paraId="6363160F" w14:textId="77777777" w:rsidR="0014440E" w:rsidRPr="003528AC" w:rsidRDefault="0014440E" w:rsidP="00E07D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2022.</w:t>
            </w:r>
          </w:p>
        </w:tc>
      </w:tr>
      <w:tr w:rsidR="0014440E" w:rsidRPr="003528AC" w14:paraId="5D57ECF4" w14:textId="77777777" w:rsidTr="00281BF2">
        <w:tc>
          <w:tcPr>
            <w:tcW w:w="711" w:type="dxa"/>
          </w:tcPr>
          <w:p w14:paraId="482BD9DB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1949" w:type="dxa"/>
          </w:tcPr>
          <w:p w14:paraId="55517DD9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Općinski sud u Sisku</w:t>
            </w:r>
          </w:p>
        </w:tc>
        <w:tc>
          <w:tcPr>
            <w:tcW w:w="1559" w:type="dxa"/>
          </w:tcPr>
          <w:p w14:paraId="3255DF20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528AC">
              <w:rPr>
                <w:rFonts w:asciiTheme="minorHAnsi" w:hAnsiTheme="minorHAnsi"/>
                <w:sz w:val="22"/>
                <w:szCs w:val="22"/>
              </w:rPr>
              <w:t>Pr</w:t>
            </w:r>
            <w:proofErr w:type="spellEnd"/>
            <w:r w:rsidRPr="003528AC">
              <w:rPr>
                <w:rFonts w:asciiTheme="minorHAnsi" w:hAnsiTheme="minorHAnsi"/>
                <w:sz w:val="22"/>
                <w:szCs w:val="22"/>
              </w:rPr>
              <w:t>-131/19</w:t>
            </w:r>
          </w:p>
        </w:tc>
        <w:tc>
          <w:tcPr>
            <w:tcW w:w="4394" w:type="dxa"/>
          </w:tcPr>
          <w:p w14:paraId="235D9AAE" w14:textId="54C2C9E1" w:rsidR="0014440E" w:rsidRPr="003528AC" w:rsidRDefault="0014440E" w:rsidP="0014440E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Nakade štete – specijalizacija</w:t>
            </w:r>
          </w:p>
        </w:tc>
        <w:tc>
          <w:tcPr>
            <w:tcW w:w="1560" w:type="dxa"/>
          </w:tcPr>
          <w:p w14:paraId="5903C6B2" w14:textId="77777777" w:rsidR="0014440E" w:rsidRPr="003528AC" w:rsidRDefault="0014440E" w:rsidP="00E07DA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0EA916E" w14:textId="77777777" w:rsidR="0014440E" w:rsidRPr="003528AC" w:rsidRDefault="0014440E" w:rsidP="00E07DA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770.699,02</w:t>
            </w:r>
          </w:p>
        </w:tc>
        <w:tc>
          <w:tcPr>
            <w:tcW w:w="1979" w:type="dxa"/>
          </w:tcPr>
          <w:p w14:paraId="41D9D89E" w14:textId="77777777" w:rsidR="0014440E" w:rsidRPr="003528AC" w:rsidRDefault="0014440E" w:rsidP="00E07D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2022.</w:t>
            </w:r>
          </w:p>
        </w:tc>
      </w:tr>
      <w:tr w:rsidR="0014440E" w:rsidRPr="003528AC" w14:paraId="24C6146E" w14:textId="77777777" w:rsidTr="00281BF2">
        <w:tc>
          <w:tcPr>
            <w:tcW w:w="711" w:type="dxa"/>
          </w:tcPr>
          <w:p w14:paraId="112A43DB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1949" w:type="dxa"/>
          </w:tcPr>
          <w:p w14:paraId="1D79DBAA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Općinski sud u Kutini</w:t>
            </w:r>
          </w:p>
        </w:tc>
        <w:tc>
          <w:tcPr>
            <w:tcW w:w="1559" w:type="dxa"/>
          </w:tcPr>
          <w:p w14:paraId="66ECB796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Pr16/19</w:t>
            </w:r>
          </w:p>
        </w:tc>
        <w:tc>
          <w:tcPr>
            <w:tcW w:w="4394" w:type="dxa"/>
          </w:tcPr>
          <w:p w14:paraId="224BE37D" w14:textId="4F532D9C" w:rsidR="0014440E" w:rsidRPr="003528AC" w:rsidRDefault="0014440E" w:rsidP="0014440E">
            <w:pPr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 xml:space="preserve">Nakade štete – specijalizacija </w:t>
            </w:r>
          </w:p>
        </w:tc>
        <w:tc>
          <w:tcPr>
            <w:tcW w:w="1560" w:type="dxa"/>
          </w:tcPr>
          <w:p w14:paraId="5462FEC3" w14:textId="77777777" w:rsidR="0014440E" w:rsidRPr="003528AC" w:rsidRDefault="0014440E" w:rsidP="00E07DA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4D45C33" w14:textId="77777777" w:rsidR="0014440E" w:rsidRPr="003528AC" w:rsidRDefault="0014440E" w:rsidP="00E07DA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532.424,09</w:t>
            </w:r>
          </w:p>
        </w:tc>
        <w:tc>
          <w:tcPr>
            <w:tcW w:w="1979" w:type="dxa"/>
          </w:tcPr>
          <w:p w14:paraId="11E1F6CF" w14:textId="77777777" w:rsidR="0014440E" w:rsidRPr="003528AC" w:rsidRDefault="0014440E" w:rsidP="00E07D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28AC">
              <w:rPr>
                <w:rFonts w:asciiTheme="minorHAnsi" w:hAnsiTheme="minorHAnsi"/>
                <w:sz w:val="22"/>
                <w:szCs w:val="22"/>
              </w:rPr>
              <w:t>2022.</w:t>
            </w:r>
          </w:p>
        </w:tc>
      </w:tr>
      <w:tr w:rsidR="0014440E" w:rsidRPr="003528AC" w14:paraId="794BBA3D" w14:textId="77777777" w:rsidTr="00281BF2">
        <w:tc>
          <w:tcPr>
            <w:tcW w:w="711" w:type="dxa"/>
          </w:tcPr>
          <w:p w14:paraId="5E0A8066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9" w:type="dxa"/>
          </w:tcPr>
          <w:p w14:paraId="53ECAAFC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686EE6" w14:textId="77777777" w:rsidR="0014440E" w:rsidRPr="003528AC" w:rsidRDefault="0014440E" w:rsidP="00E07D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6732FDD" w14:textId="77777777" w:rsidR="0014440E" w:rsidRPr="003528AC" w:rsidRDefault="0014440E" w:rsidP="00E07DA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C0027F9" w14:textId="77777777" w:rsidR="0014440E" w:rsidRPr="003528AC" w:rsidRDefault="0014440E" w:rsidP="00E07D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528AC">
              <w:rPr>
                <w:rFonts w:asciiTheme="minorHAnsi" w:hAnsiTheme="minorHAnsi"/>
                <w:b/>
                <w:sz w:val="22"/>
                <w:szCs w:val="22"/>
              </w:rPr>
              <w:t>UKUPNO</w:t>
            </w:r>
          </w:p>
        </w:tc>
        <w:tc>
          <w:tcPr>
            <w:tcW w:w="1560" w:type="dxa"/>
          </w:tcPr>
          <w:p w14:paraId="6D0A4A81" w14:textId="77777777" w:rsidR="0014440E" w:rsidRPr="003528AC" w:rsidRDefault="0014440E" w:rsidP="00E07DA8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ED928E8" w14:textId="77777777" w:rsidR="0014440E" w:rsidRPr="003528AC" w:rsidRDefault="0014440E" w:rsidP="00E07DA8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3528AC">
              <w:rPr>
                <w:rFonts w:asciiTheme="minorHAnsi" w:hAnsiTheme="minorHAnsi"/>
                <w:b/>
                <w:sz w:val="22"/>
                <w:szCs w:val="22"/>
              </w:rPr>
              <w:t>6.611.800,58</w:t>
            </w:r>
          </w:p>
        </w:tc>
        <w:tc>
          <w:tcPr>
            <w:tcW w:w="1842" w:type="dxa"/>
          </w:tcPr>
          <w:p w14:paraId="2C031171" w14:textId="77777777" w:rsidR="0014440E" w:rsidRPr="003528AC" w:rsidRDefault="0014440E" w:rsidP="00E07DA8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C0E8A2" w14:textId="77777777" w:rsidR="0014440E" w:rsidRPr="003528AC" w:rsidRDefault="0014440E" w:rsidP="00E07DA8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3528AC">
              <w:rPr>
                <w:rFonts w:asciiTheme="minorHAnsi" w:hAnsiTheme="minorHAnsi"/>
                <w:b/>
                <w:sz w:val="22"/>
                <w:szCs w:val="22"/>
              </w:rPr>
              <w:t>1.805.229,47</w:t>
            </w:r>
          </w:p>
        </w:tc>
        <w:tc>
          <w:tcPr>
            <w:tcW w:w="1979" w:type="dxa"/>
          </w:tcPr>
          <w:p w14:paraId="5FA93464" w14:textId="77777777" w:rsidR="0014440E" w:rsidRPr="003528AC" w:rsidRDefault="0014440E" w:rsidP="00E07D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934B529" w14:textId="77777777" w:rsidR="0014440E" w:rsidRPr="003528AC" w:rsidRDefault="0014440E" w:rsidP="0014440E">
      <w:pPr>
        <w:rPr>
          <w:rFonts w:asciiTheme="minorHAnsi" w:hAnsiTheme="minorHAnsi"/>
          <w:sz w:val="22"/>
          <w:szCs w:val="22"/>
        </w:rPr>
      </w:pPr>
    </w:p>
    <w:p w14:paraId="2D55D3FF" w14:textId="77777777" w:rsidR="00C155F1" w:rsidRDefault="00C155F1" w:rsidP="0014440E">
      <w:pPr>
        <w:rPr>
          <w:rFonts w:asciiTheme="minorHAnsi" w:hAnsiTheme="minorHAnsi"/>
          <w:sz w:val="22"/>
          <w:szCs w:val="22"/>
        </w:rPr>
      </w:pPr>
    </w:p>
    <w:p w14:paraId="2616E19A" w14:textId="77777777" w:rsidR="0014440E" w:rsidRPr="003528AC" w:rsidRDefault="0014440E" w:rsidP="0014440E">
      <w:pPr>
        <w:rPr>
          <w:rFonts w:asciiTheme="minorHAnsi" w:eastAsia="Calibri" w:hAnsiTheme="minorHAnsi"/>
          <w:sz w:val="22"/>
          <w:szCs w:val="22"/>
        </w:rPr>
      </w:pPr>
      <w:r w:rsidRPr="003528AC">
        <w:rPr>
          <w:rFonts w:asciiTheme="minorHAnsi" w:hAnsiTheme="minorHAnsi"/>
          <w:sz w:val="22"/>
          <w:szCs w:val="22"/>
        </w:rPr>
        <w:t>*Napomena: Procjena vremena priljeva ili odljeva sredstava nije pouzdana jer nije moguće predvidjeti duljinu trajanja i tijek sudskih postupaka.</w:t>
      </w:r>
    </w:p>
    <w:p w14:paraId="56D9A683" w14:textId="77777777" w:rsidR="0014440E" w:rsidRPr="003528AC" w:rsidRDefault="0014440E" w:rsidP="0014440E">
      <w:pPr>
        <w:rPr>
          <w:rFonts w:asciiTheme="minorHAnsi" w:hAnsiTheme="minorHAnsi"/>
          <w:sz w:val="22"/>
          <w:szCs w:val="22"/>
        </w:rPr>
      </w:pPr>
    </w:p>
    <w:p w14:paraId="76D5DA0F" w14:textId="77777777" w:rsidR="0014440E" w:rsidRPr="003528AC" w:rsidRDefault="0014440E" w:rsidP="0014440E">
      <w:pPr>
        <w:rPr>
          <w:rFonts w:asciiTheme="minorHAnsi" w:hAnsiTheme="minorHAnsi"/>
          <w:sz w:val="22"/>
          <w:szCs w:val="22"/>
        </w:rPr>
      </w:pPr>
    </w:p>
    <w:p w14:paraId="0A9098FB" w14:textId="77777777" w:rsidR="00345A7E" w:rsidRPr="003528AC" w:rsidRDefault="00345A7E" w:rsidP="0014440E">
      <w:pPr>
        <w:rPr>
          <w:rFonts w:asciiTheme="minorHAnsi" w:hAnsiTheme="minorHAnsi"/>
          <w:sz w:val="22"/>
          <w:szCs w:val="22"/>
        </w:rPr>
      </w:pPr>
    </w:p>
    <w:p w14:paraId="68498775" w14:textId="77777777" w:rsidR="00345A7E" w:rsidRPr="003528AC" w:rsidRDefault="00345A7E" w:rsidP="0014440E">
      <w:pPr>
        <w:rPr>
          <w:rFonts w:asciiTheme="minorHAnsi" w:hAnsiTheme="minorHAnsi"/>
          <w:sz w:val="22"/>
          <w:szCs w:val="22"/>
        </w:rPr>
      </w:pPr>
    </w:p>
    <w:p w14:paraId="67DE8F22" w14:textId="77777777" w:rsidR="00345A7E" w:rsidRPr="0014440E" w:rsidRDefault="00345A7E" w:rsidP="0014440E">
      <w:pPr>
        <w:rPr>
          <w:rFonts w:asciiTheme="minorHAnsi" w:hAnsiTheme="minorHAnsi"/>
        </w:rPr>
      </w:pPr>
    </w:p>
    <w:p w14:paraId="5E4390E2" w14:textId="77777777" w:rsidR="008A2F8C" w:rsidRDefault="008A2F8C" w:rsidP="008A2F8C">
      <w:pPr>
        <w:rPr>
          <w:rFonts w:asciiTheme="minorHAnsi" w:hAnsiTheme="minorHAnsi"/>
        </w:rPr>
      </w:pPr>
    </w:p>
    <w:p w14:paraId="747F558E" w14:textId="77777777" w:rsidR="003528AC" w:rsidRDefault="003528AC" w:rsidP="008A2F8C">
      <w:pPr>
        <w:rPr>
          <w:rFonts w:asciiTheme="minorHAnsi" w:hAnsiTheme="minorHAnsi"/>
        </w:rPr>
      </w:pPr>
    </w:p>
    <w:p w14:paraId="54022C89" w14:textId="77777777" w:rsidR="003528AC" w:rsidRDefault="003528AC" w:rsidP="008A2F8C">
      <w:pPr>
        <w:rPr>
          <w:rFonts w:asciiTheme="minorHAnsi" w:hAnsiTheme="minorHAnsi"/>
        </w:rPr>
      </w:pPr>
    </w:p>
    <w:p w14:paraId="727358A9" w14:textId="77777777" w:rsidR="003528AC" w:rsidRDefault="003528AC" w:rsidP="008A2F8C">
      <w:pPr>
        <w:rPr>
          <w:rFonts w:asciiTheme="minorHAnsi" w:hAnsiTheme="minorHAnsi"/>
        </w:rPr>
      </w:pPr>
    </w:p>
    <w:p w14:paraId="4E1D43E1" w14:textId="77777777" w:rsidR="003528AC" w:rsidRDefault="003528AC" w:rsidP="008A2F8C">
      <w:pPr>
        <w:rPr>
          <w:rFonts w:asciiTheme="minorHAnsi" w:hAnsiTheme="minorHAnsi"/>
        </w:rPr>
      </w:pPr>
    </w:p>
    <w:p w14:paraId="53C1EB93" w14:textId="77777777" w:rsidR="003528AC" w:rsidRPr="0014440E" w:rsidRDefault="003528AC" w:rsidP="008A2F8C">
      <w:pPr>
        <w:rPr>
          <w:rFonts w:asciiTheme="minorHAnsi" w:hAnsiTheme="minorHAnsi"/>
        </w:rPr>
      </w:pPr>
    </w:p>
    <w:p w14:paraId="7EB3DF7B" w14:textId="77777777" w:rsidR="002923EA" w:rsidRDefault="002923EA" w:rsidP="008A2F8C">
      <w:pPr>
        <w:rPr>
          <w:rFonts w:asciiTheme="minorHAnsi" w:hAnsiTheme="minorHAnsi"/>
        </w:rPr>
      </w:pPr>
    </w:p>
    <w:p w14:paraId="70D25DF4" w14:textId="15EF7DFA" w:rsidR="002923EA" w:rsidRDefault="002923EA" w:rsidP="008A2F8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Popis ugovornih odnosa i sl. koji uz ispunjenje određenih uvjeta, mogu postati obveza ili imovina na dan 31. 12. 2019. godine</w:t>
      </w:r>
      <w:r>
        <w:rPr>
          <w:rFonts w:asciiTheme="minorHAnsi" w:hAnsiTheme="minorHAnsi"/>
        </w:rPr>
        <w:t xml:space="preserve">  </w:t>
      </w:r>
    </w:p>
    <w:p w14:paraId="4AD613C9" w14:textId="77777777" w:rsidR="003528AC" w:rsidRDefault="003528AC" w:rsidP="008A2F8C">
      <w:pPr>
        <w:rPr>
          <w:rFonts w:asciiTheme="minorHAnsi" w:hAnsiTheme="minorHAnsi"/>
        </w:rPr>
      </w:pPr>
    </w:p>
    <w:p w14:paraId="3198B7F6" w14:textId="77777777" w:rsidR="003528AC" w:rsidRDefault="003528AC" w:rsidP="008A2F8C">
      <w:pPr>
        <w:rPr>
          <w:rFonts w:asciiTheme="minorHAnsi" w:hAnsiTheme="minorHAnsi"/>
        </w:rPr>
      </w:pPr>
    </w:p>
    <w:p w14:paraId="5175126D" w14:textId="77777777" w:rsidR="003528AC" w:rsidRDefault="003528AC" w:rsidP="008A2F8C">
      <w:pPr>
        <w:rPr>
          <w:rFonts w:asciiTheme="minorHAnsi" w:hAnsiTheme="minorHAnsi"/>
        </w:rPr>
      </w:pPr>
    </w:p>
    <w:tbl>
      <w:tblPr>
        <w:tblW w:w="15120" w:type="dxa"/>
        <w:tblInd w:w="93" w:type="dxa"/>
        <w:tblLook w:val="04A0" w:firstRow="1" w:lastRow="0" w:firstColumn="1" w:lastColumn="0" w:noHBand="0" w:noVBand="1"/>
      </w:tblPr>
      <w:tblGrid>
        <w:gridCol w:w="940"/>
        <w:gridCol w:w="1300"/>
        <w:gridCol w:w="1500"/>
        <w:gridCol w:w="3740"/>
        <w:gridCol w:w="1720"/>
        <w:gridCol w:w="1620"/>
        <w:gridCol w:w="2620"/>
        <w:gridCol w:w="1680"/>
      </w:tblGrid>
      <w:tr w:rsidR="003528AC" w:rsidRPr="003528AC" w14:paraId="141B7494" w14:textId="77777777" w:rsidTr="003528AC">
        <w:trPr>
          <w:trHeight w:val="255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2F63B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Red.br.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CF739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Datum izdavanja</w:t>
            </w:r>
          </w:p>
        </w:tc>
        <w:tc>
          <w:tcPr>
            <w:tcW w:w="5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50B9D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PREDMET NABAVE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B71EF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VRSTA GARANCIJE I JAMSTVA (bankovna, gotovina)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EA6E1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Iznos 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4E365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Davatelj garancije i jamstva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49BD7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Vrijedi do</w:t>
            </w:r>
          </w:p>
        </w:tc>
      </w:tr>
      <w:tr w:rsidR="003528AC" w:rsidRPr="003528AC" w14:paraId="30FA5F8E" w14:textId="77777777" w:rsidTr="003528AC">
        <w:trPr>
          <w:trHeight w:val="269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413B3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4B43C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34587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Broj ugovora</w:t>
            </w: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F1CD1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Kratki naziv ili opis predmeta nabave</w:t>
            </w: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1506B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7188D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5A07C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A5E8E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28AC" w:rsidRPr="003528AC" w14:paraId="7AB3F1C8" w14:textId="77777777" w:rsidTr="003528AC">
        <w:trPr>
          <w:trHeight w:val="269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088A1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64B40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1AA04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45E82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A48DD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A2380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0AE7C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27B61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28AC" w:rsidRPr="003528AC" w14:paraId="38A57477" w14:textId="77777777" w:rsidTr="003528AC">
        <w:trPr>
          <w:trHeight w:val="465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F72AD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F3BC6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50E78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8EEE1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10D0C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E6100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BF619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CE04B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28AC" w:rsidRPr="003528AC" w14:paraId="5F90698F" w14:textId="77777777" w:rsidTr="003528A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1BD31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3D0FA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4C7EE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6EFBF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836A5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543FD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E180D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D8E13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</w:tr>
      <w:tr w:rsidR="003528AC" w:rsidRPr="003528AC" w14:paraId="601D590C" w14:textId="77777777" w:rsidTr="00C155F1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E7A0D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D1C2B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6.7.2018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E501F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2176-128-02-2/18-225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49F6F" w14:textId="43ABD11C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Nabava zemnog  plina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54DFF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2654" w14:textId="77777777" w:rsidR="003528AC" w:rsidRPr="003528AC" w:rsidRDefault="003528AC" w:rsidP="003528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280.111,71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10D33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Gradska plinara Zagreb - Opskrba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44F91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01.09.2020.</w:t>
            </w:r>
          </w:p>
        </w:tc>
      </w:tr>
      <w:tr w:rsidR="003528AC" w:rsidRPr="003528AC" w14:paraId="7EAE05A0" w14:textId="77777777" w:rsidTr="00C155F1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E065C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6F1EE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16.7.2018.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C10A0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2176-128-02-2/19-388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A9D0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Nabava materijala za higijenu i njegu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D4251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E848" w14:textId="77777777" w:rsidR="003528AC" w:rsidRPr="003528AC" w:rsidRDefault="003528AC" w:rsidP="003528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5.000,00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CE2BE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Medika d.d. Zagreb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36748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24.9.2020</w:t>
            </w:r>
          </w:p>
        </w:tc>
      </w:tr>
      <w:tr w:rsidR="003528AC" w:rsidRPr="003528AC" w14:paraId="2D9678C5" w14:textId="77777777" w:rsidTr="00C155F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ACE79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FE1D5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20.2.2019.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7752D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2176-128-02-219-129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74686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Nabava prehrambenih proizvoda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929DD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0369" w14:textId="77777777" w:rsidR="003528AC" w:rsidRPr="003528AC" w:rsidRDefault="003528AC" w:rsidP="003528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14.741,00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7C45C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Perutnina Ptuj Pipo d.o.o. Čakovec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4E8DE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18.2.2020</w:t>
            </w:r>
          </w:p>
        </w:tc>
      </w:tr>
      <w:tr w:rsidR="003528AC" w:rsidRPr="003528AC" w14:paraId="39ED61D8" w14:textId="77777777" w:rsidTr="003528A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3FB9B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81B36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21.2.2019.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8BF69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2176-128-02-2/19-132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3E77C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Nabava prehrambenih proizvoda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7B6A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novčani polog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F8160" w14:textId="77777777" w:rsidR="003528AC" w:rsidRPr="003528AC" w:rsidRDefault="003528AC" w:rsidP="003528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7.880,00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2110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Zvijezda d.d. Zagreb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8067A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15.2.2020</w:t>
            </w:r>
          </w:p>
        </w:tc>
      </w:tr>
      <w:tr w:rsidR="003528AC" w:rsidRPr="003528AC" w14:paraId="2558B10B" w14:textId="77777777" w:rsidTr="003528AC">
        <w:trPr>
          <w:trHeight w:val="501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F680B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76043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27.2.2019.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4C440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2176-128-02-2/19-135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9CA40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Nabava prehrambenih proizvoda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0F4E1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novčani polog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F50D9" w14:textId="77777777" w:rsidR="003528AC" w:rsidRPr="003528AC" w:rsidRDefault="003528AC" w:rsidP="003528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9.425,49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D915D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Ledo d.d. Zagreb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E726E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20.2.2020</w:t>
            </w:r>
          </w:p>
        </w:tc>
      </w:tr>
      <w:tr w:rsidR="003528AC" w:rsidRPr="003528AC" w14:paraId="09269D07" w14:textId="77777777" w:rsidTr="00C155F1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CA69F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1015E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1.3.2019.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E6AAA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2176-128-02-2/19-130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EA471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Nabava prehrambenih proizvoda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77517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23DEBB" w14:textId="77777777" w:rsidR="003528AC" w:rsidRPr="003528AC" w:rsidRDefault="003528AC" w:rsidP="003528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5.000,00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46A93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Lukač d.o.o., Zagreb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95D8D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27.2.2020</w:t>
            </w:r>
          </w:p>
        </w:tc>
      </w:tr>
      <w:tr w:rsidR="003528AC" w:rsidRPr="003528AC" w14:paraId="46141B8A" w14:textId="77777777" w:rsidTr="00C155F1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2CEDD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6CC66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13.3.2019.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C5645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2176-128-02-2/19-140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68084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Nabava prehrambenih proizvoda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D0DB6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03DD14" w14:textId="77777777" w:rsidR="003528AC" w:rsidRPr="003528AC" w:rsidRDefault="003528AC" w:rsidP="003528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5.000,00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51990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Lonia d.d. Kutina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28639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18.2.2020</w:t>
            </w:r>
          </w:p>
        </w:tc>
      </w:tr>
      <w:tr w:rsidR="003528AC" w:rsidRPr="003528AC" w14:paraId="61C34487" w14:textId="77777777" w:rsidTr="00C155F1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14717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0FB8B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18.3.2019.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EFA8F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2176-128-02-2/19-137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F0B8D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Nabava prehrambenih proizvoda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B04A1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FD573F" w14:textId="77777777" w:rsidR="003528AC" w:rsidRPr="003528AC" w:rsidRDefault="003528AC" w:rsidP="003528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500.000,00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90605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Mlin i pekare d.o.o., Sisak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8CAA8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1.3.2020</w:t>
            </w:r>
          </w:p>
        </w:tc>
      </w:tr>
      <w:tr w:rsidR="003528AC" w:rsidRPr="003528AC" w14:paraId="5483DF31" w14:textId="77777777" w:rsidTr="00C155F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8E369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8E9FF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20.3.2019.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58D9E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2176-128-02-2/19-128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69FCA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Nabava prehrambenih proizvoda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D0DD5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A86B2F" w14:textId="77777777" w:rsidR="003528AC" w:rsidRPr="003528AC" w:rsidRDefault="003528AC" w:rsidP="003528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96.945,00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4DCDE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528AC">
              <w:rPr>
                <w:rFonts w:asciiTheme="minorHAnsi" w:hAnsiTheme="minorHAnsi" w:cs="Arial"/>
                <w:sz w:val="22"/>
                <w:szCs w:val="22"/>
              </w:rPr>
              <w:t>Pert</w:t>
            </w:r>
            <w:proofErr w:type="spellEnd"/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 d.o.o., Ilok, podružnica Rijeka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9EE9E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11.2.2020</w:t>
            </w:r>
          </w:p>
        </w:tc>
      </w:tr>
      <w:tr w:rsidR="003528AC" w:rsidRPr="003528AC" w14:paraId="0A00E8D3" w14:textId="77777777" w:rsidTr="003528AC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632B1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38C9E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28.3.2019.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6347C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2176-128-02-</w:t>
            </w:r>
            <w:r w:rsidRPr="003528AC">
              <w:rPr>
                <w:rFonts w:asciiTheme="minorHAnsi" w:hAnsiTheme="minorHAnsi" w:cs="Arial"/>
                <w:sz w:val="22"/>
                <w:szCs w:val="22"/>
              </w:rPr>
              <w:lastRenderedPageBreak/>
              <w:t>2/19-131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83D88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Nabava prehrambenih proizvoda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D64FF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novčani polog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85545" w14:textId="77777777" w:rsidR="003528AC" w:rsidRPr="003528AC" w:rsidRDefault="003528AC" w:rsidP="003528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23.670,00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BE83F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PIK Vrbovec d.d.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98ADC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11.2.2020</w:t>
            </w:r>
          </w:p>
        </w:tc>
      </w:tr>
      <w:tr w:rsidR="003528AC" w:rsidRPr="003528AC" w14:paraId="6B385CD9" w14:textId="77777777" w:rsidTr="00C155F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0A464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F83F2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17.4.2019.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598CD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2176-128-02-2/19-238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3F207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Nabava lijekova po grupama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8AC44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bjanko zadužnica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758F9C" w14:textId="77777777" w:rsidR="003528AC" w:rsidRPr="003528AC" w:rsidRDefault="003528AC" w:rsidP="003528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5.000,00  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32485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Medika d.d. Zagreb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CDBC9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10.5.2020</w:t>
            </w:r>
          </w:p>
        </w:tc>
      </w:tr>
      <w:tr w:rsidR="003528AC" w:rsidRPr="003528AC" w14:paraId="7E1B327C" w14:textId="77777777" w:rsidTr="00C155F1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EDED3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742E9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14.5.2019.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E9AAA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2176-128-02-2/19-257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06A89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Nabava lijekova po grupama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3F07E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8E132C" w14:textId="77777777" w:rsidR="003528AC" w:rsidRPr="003528AC" w:rsidRDefault="003528AC" w:rsidP="003528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5.000,00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27380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528AC">
              <w:rPr>
                <w:rFonts w:asciiTheme="minorHAnsi" w:hAnsiTheme="minorHAnsi" w:cs="Arial"/>
                <w:sz w:val="22"/>
                <w:szCs w:val="22"/>
              </w:rPr>
              <w:t>Oktal</w:t>
            </w:r>
            <w:proofErr w:type="spellEnd"/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 Pharma d.o.o. Zagreb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5BA5D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14.5.2020</w:t>
            </w:r>
          </w:p>
        </w:tc>
      </w:tr>
      <w:tr w:rsidR="003528AC" w:rsidRPr="003528AC" w14:paraId="2787FDE1" w14:textId="77777777" w:rsidTr="00C155F1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CC1CB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3879A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14.5.2019.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5E65B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2E882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Nabava lijekova po grupama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E8696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7E0DA5" w14:textId="77777777" w:rsidR="003528AC" w:rsidRPr="003528AC" w:rsidRDefault="003528AC" w:rsidP="003528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10.000,00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E5505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528AC">
              <w:rPr>
                <w:rFonts w:asciiTheme="minorHAnsi" w:hAnsiTheme="minorHAnsi" w:cs="Arial"/>
                <w:sz w:val="22"/>
                <w:szCs w:val="22"/>
              </w:rPr>
              <w:t>Oktal</w:t>
            </w:r>
            <w:proofErr w:type="spellEnd"/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 Pharma d.o.o. Zagreb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0981B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28AC" w:rsidRPr="003528AC" w14:paraId="61C6B528" w14:textId="77777777" w:rsidTr="00C155F1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371D0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20092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14.5.2019.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CA9DF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D98C4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Nabava lijekova po grupama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A7F5A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148BF7" w14:textId="77777777" w:rsidR="003528AC" w:rsidRPr="003528AC" w:rsidRDefault="003528AC" w:rsidP="003528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10.000,00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A6EA1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528AC">
              <w:rPr>
                <w:rFonts w:asciiTheme="minorHAnsi" w:hAnsiTheme="minorHAnsi" w:cs="Arial"/>
                <w:sz w:val="22"/>
                <w:szCs w:val="22"/>
              </w:rPr>
              <w:t>Oktal</w:t>
            </w:r>
            <w:proofErr w:type="spellEnd"/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 Pharma d.o.o. Zagreb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2DF8B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28AC" w:rsidRPr="003528AC" w14:paraId="4F69B7EA" w14:textId="77777777" w:rsidTr="00C155F1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09B52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35FD2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14.5.2019.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FDC9F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F97BB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Nabava lijekova po grupama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C9DDA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208185" w14:textId="77777777" w:rsidR="003528AC" w:rsidRPr="003528AC" w:rsidRDefault="003528AC" w:rsidP="003528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10.000,00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5B68B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528AC">
              <w:rPr>
                <w:rFonts w:asciiTheme="minorHAnsi" w:hAnsiTheme="minorHAnsi" w:cs="Arial"/>
                <w:sz w:val="22"/>
                <w:szCs w:val="22"/>
              </w:rPr>
              <w:t>Oktal</w:t>
            </w:r>
            <w:proofErr w:type="spellEnd"/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 Pharma d.o.o. Zagreb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8A332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28AC" w:rsidRPr="003528AC" w14:paraId="5383C189" w14:textId="77777777" w:rsidTr="00C155F1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16480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949D6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16.05.2019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24739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2176-128-02-2/19-259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31D31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Nabava lijekova po grupama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39F37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7FE696" w14:textId="77777777" w:rsidR="003528AC" w:rsidRPr="003528AC" w:rsidRDefault="003528AC" w:rsidP="003528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5.000,00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DC7A9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528AC">
              <w:rPr>
                <w:rFonts w:asciiTheme="minorHAnsi" w:hAnsiTheme="minorHAnsi" w:cs="Arial"/>
                <w:sz w:val="22"/>
                <w:szCs w:val="22"/>
              </w:rPr>
              <w:t>Medical</w:t>
            </w:r>
            <w:proofErr w:type="spellEnd"/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528AC">
              <w:rPr>
                <w:rFonts w:asciiTheme="minorHAnsi" w:hAnsiTheme="minorHAnsi" w:cs="Arial"/>
                <w:sz w:val="22"/>
                <w:szCs w:val="22"/>
              </w:rPr>
              <w:t>Intertrade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15698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15.5.2020</w:t>
            </w:r>
          </w:p>
        </w:tc>
      </w:tr>
      <w:tr w:rsidR="003528AC" w:rsidRPr="003528AC" w14:paraId="1F3B6F51" w14:textId="77777777" w:rsidTr="00C155F1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48714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EC9BB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3.6.2019.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DDF00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2176-128-02-2/19-260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10705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Nabava lijekova po grupama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74D1F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E64CF1" w14:textId="77777777" w:rsidR="003528AC" w:rsidRPr="003528AC" w:rsidRDefault="003528AC" w:rsidP="003528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500.000,00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2999C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Phoenix Farmacija d.o.o.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BCA45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15.5.2020</w:t>
            </w:r>
          </w:p>
        </w:tc>
      </w:tr>
      <w:tr w:rsidR="003528AC" w:rsidRPr="003528AC" w14:paraId="63CD440D" w14:textId="77777777" w:rsidTr="00C155F1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A3D62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1BE77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2.7.2019.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4C5ED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2176-128-02-2/19-310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A081C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Nabava usluge prijevoza autobusom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61367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D352BA" w14:textId="77777777" w:rsidR="003528AC" w:rsidRPr="003528AC" w:rsidRDefault="003528AC" w:rsidP="003528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50.000,00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96A3D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Čazmatrans-nova d.o.o., Čazma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D5045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1.7.2020</w:t>
            </w:r>
          </w:p>
        </w:tc>
      </w:tr>
      <w:tr w:rsidR="003528AC" w:rsidRPr="003528AC" w14:paraId="49EE11AA" w14:textId="77777777" w:rsidTr="00C155F1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89085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D2A70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15.7.2019.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1E8A7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2176-128-02-2/19-276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6F99B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Nabava ulazno-izlaznog transportera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265DB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8A6563" w14:textId="77777777" w:rsidR="003528AC" w:rsidRPr="003528AC" w:rsidRDefault="003528AC" w:rsidP="003528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50.000,00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07735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3528AC">
              <w:rPr>
                <w:rFonts w:asciiTheme="minorHAnsi" w:hAnsiTheme="minorHAnsi" w:cs="Arial"/>
                <w:sz w:val="22"/>
                <w:szCs w:val="22"/>
              </w:rPr>
              <w:t>Elmes</w:t>
            </w:r>
            <w:proofErr w:type="spellEnd"/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 d.o.o., </w:t>
            </w:r>
            <w:proofErr w:type="spellStart"/>
            <w:r w:rsidRPr="003528AC">
              <w:rPr>
                <w:rFonts w:asciiTheme="minorHAnsi" w:hAnsiTheme="minorHAnsi" w:cs="Arial"/>
                <w:sz w:val="22"/>
                <w:szCs w:val="22"/>
              </w:rPr>
              <w:t>Brckovljani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A09FE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23.5.2020</w:t>
            </w:r>
          </w:p>
        </w:tc>
      </w:tr>
      <w:tr w:rsidR="003528AC" w:rsidRPr="003528AC" w14:paraId="61C52984" w14:textId="77777777" w:rsidTr="00C155F1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89008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A649D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26.7.2019.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2AF7A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2176-128-02-2/19-339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2D05C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Nabava sredstava za čišćenje i održavanje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028C5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98F51F" w14:textId="77777777" w:rsidR="003528AC" w:rsidRPr="003528AC" w:rsidRDefault="003528AC" w:rsidP="003528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5.000,00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05AF0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528AC">
              <w:rPr>
                <w:rFonts w:asciiTheme="minorHAnsi" w:hAnsiTheme="minorHAnsi" w:cs="Arial"/>
                <w:sz w:val="22"/>
                <w:szCs w:val="22"/>
              </w:rPr>
              <w:t>Kemoboja</w:t>
            </w:r>
            <w:proofErr w:type="spellEnd"/>
            <w:r w:rsidRPr="003528AC">
              <w:rPr>
                <w:rFonts w:asciiTheme="minorHAnsi" w:hAnsiTheme="minorHAnsi" w:cs="Arial"/>
                <w:sz w:val="22"/>
                <w:szCs w:val="22"/>
              </w:rPr>
              <w:t>-Dubrava d.o.o. Zagreb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D7743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17.7.2020</w:t>
            </w:r>
          </w:p>
        </w:tc>
      </w:tr>
      <w:tr w:rsidR="003528AC" w:rsidRPr="003528AC" w14:paraId="41D817BE" w14:textId="77777777" w:rsidTr="00C155F1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6A789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612E7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30.7.2019.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0037B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2176-128-02-2/19-336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25E2D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Nabava sredstava za čišćenje i održavanje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3ABAF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7E090E" w14:textId="77777777" w:rsidR="003528AC" w:rsidRPr="003528AC" w:rsidRDefault="003528AC" w:rsidP="003528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10.000,00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E2592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Saponia d.d. Osijek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41074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15.7.2020</w:t>
            </w:r>
          </w:p>
        </w:tc>
      </w:tr>
      <w:tr w:rsidR="003528AC" w:rsidRPr="003528AC" w14:paraId="6F70E327" w14:textId="77777777" w:rsidTr="00C155F1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3B98E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234C9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30.7.2019.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FBF57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2176-128-02-2/19-335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C288C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Nabava sredstava za čišćenje i održavanje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C7FB1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3B744D" w14:textId="77777777" w:rsidR="003528AC" w:rsidRPr="003528AC" w:rsidRDefault="003528AC" w:rsidP="003528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5.000,00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9A75B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Saponia d.d. Osijek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631CB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17.7.2020</w:t>
            </w:r>
          </w:p>
        </w:tc>
      </w:tr>
      <w:tr w:rsidR="003528AC" w:rsidRPr="003528AC" w14:paraId="7EE28BE7" w14:textId="77777777" w:rsidTr="00C155F1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74807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30DEE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1.8.2019.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A580E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2176-128-02-2/19-338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0B679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Nabava sredstava za čišćenje i održavanje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324C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376E7E" w14:textId="77777777" w:rsidR="003528AC" w:rsidRPr="003528AC" w:rsidRDefault="003528AC" w:rsidP="003528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5.000,00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6AC4A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3528AC">
              <w:rPr>
                <w:rFonts w:asciiTheme="minorHAnsi" w:hAnsiTheme="minorHAnsi" w:cs="Arial"/>
                <w:sz w:val="22"/>
                <w:szCs w:val="22"/>
              </w:rPr>
              <w:t>Elmes</w:t>
            </w:r>
            <w:proofErr w:type="spellEnd"/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 d.o.o., </w:t>
            </w:r>
            <w:proofErr w:type="spellStart"/>
            <w:r w:rsidRPr="003528AC">
              <w:rPr>
                <w:rFonts w:asciiTheme="minorHAnsi" w:hAnsiTheme="minorHAnsi" w:cs="Arial"/>
                <w:sz w:val="22"/>
                <w:szCs w:val="22"/>
              </w:rPr>
              <w:t>Brckovljani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C8EE4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15.7.2020</w:t>
            </w:r>
          </w:p>
        </w:tc>
      </w:tr>
      <w:tr w:rsidR="003528AC" w:rsidRPr="003528AC" w14:paraId="20B655EC" w14:textId="77777777" w:rsidTr="00C155F1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E1D45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5BFC1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2.8.2019.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A00DD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2176-128-02-2/19-243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00F80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Nabava stroja za sušenje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F8CF3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1F0C0A" w14:textId="77777777" w:rsidR="003528AC" w:rsidRPr="003528AC" w:rsidRDefault="003528AC" w:rsidP="003528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50.000,00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D933A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3528AC">
              <w:rPr>
                <w:rFonts w:asciiTheme="minorHAnsi" w:hAnsiTheme="minorHAnsi" w:cs="Arial"/>
                <w:sz w:val="22"/>
                <w:szCs w:val="22"/>
              </w:rPr>
              <w:t>Elmes</w:t>
            </w:r>
            <w:proofErr w:type="spellEnd"/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 d.o.o., </w:t>
            </w:r>
            <w:proofErr w:type="spellStart"/>
            <w:r w:rsidRPr="003528AC">
              <w:rPr>
                <w:rFonts w:asciiTheme="minorHAnsi" w:hAnsiTheme="minorHAnsi" w:cs="Arial"/>
                <w:sz w:val="22"/>
                <w:szCs w:val="22"/>
              </w:rPr>
              <w:t>Brckovljani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60FBA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29.4.2020</w:t>
            </w:r>
          </w:p>
        </w:tc>
      </w:tr>
      <w:tr w:rsidR="003528AC" w:rsidRPr="003528AC" w14:paraId="1BB8C120" w14:textId="77777777" w:rsidTr="00C155F1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B0240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1F79D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12.9.2019.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51BDF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2176-128-02-2/19-393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B320D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Nabava materijala za higijenu i njegu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BCFBF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8DC6FA" w14:textId="77777777" w:rsidR="003528AC" w:rsidRPr="003528AC" w:rsidRDefault="003528AC" w:rsidP="003528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5.000,00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73093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3528AC">
              <w:rPr>
                <w:rFonts w:asciiTheme="minorHAnsi" w:hAnsiTheme="minorHAnsi" w:cs="Arial"/>
                <w:sz w:val="22"/>
                <w:szCs w:val="22"/>
              </w:rPr>
              <w:t>Oktal</w:t>
            </w:r>
            <w:proofErr w:type="spellEnd"/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 Pharma d.o.o. Zagreb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F4361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10.10.2020</w:t>
            </w:r>
          </w:p>
        </w:tc>
      </w:tr>
      <w:tr w:rsidR="003528AC" w:rsidRPr="003528AC" w14:paraId="125E2535" w14:textId="77777777" w:rsidTr="00C155F1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596C9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lastRenderedPageBreak/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64C4D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17.9.2019.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9F10D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2176-128-02-2/19-394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159B6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Nabava materijala za higijenu i njegu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B7ABA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1002B8" w14:textId="77777777" w:rsidR="003528AC" w:rsidRPr="003528AC" w:rsidRDefault="003528AC" w:rsidP="003528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5.000,00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51BD1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Narodne novine d.d. Zagreb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90C00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24.9.2020</w:t>
            </w:r>
          </w:p>
        </w:tc>
      </w:tr>
      <w:tr w:rsidR="003528AC" w:rsidRPr="003528AC" w14:paraId="7C3E5F01" w14:textId="77777777" w:rsidTr="00C155F1">
        <w:trPr>
          <w:trHeight w:val="510"/>
        </w:trPr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6277D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5B9F5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28.10.2019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BB3C9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2176-128-02-2/19-449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D0050" w14:textId="77777777" w:rsidR="003528AC" w:rsidRPr="003528AC" w:rsidRDefault="003528AC" w:rsidP="003528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Zakup poslovnog prostora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1ABD1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bjanko zadužnica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37957F5" w14:textId="77777777" w:rsidR="003528AC" w:rsidRPr="003528AC" w:rsidRDefault="003528AC" w:rsidP="003528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50.000,00  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FFC31" w14:textId="1715EE47" w:rsidR="003528AC" w:rsidRPr="003528AC" w:rsidRDefault="003528AC" w:rsidP="00C155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Ugostiteljski obrt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AA165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28.10.2024</w:t>
            </w:r>
          </w:p>
        </w:tc>
      </w:tr>
      <w:tr w:rsidR="003528AC" w:rsidRPr="003528AC" w14:paraId="7CC46BF0" w14:textId="77777777" w:rsidTr="003528A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F95DB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4F35C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F38E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4DFA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UKUPNO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03CEC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000D" w14:textId="77777777" w:rsidR="003528AC" w:rsidRPr="003528AC" w:rsidRDefault="003528AC" w:rsidP="003528A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 xml:space="preserve">1.727.773,20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4D628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8716F" w14:textId="77777777" w:rsidR="003528AC" w:rsidRPr="003528AC" w:rsidRDefault="003528AC" w:rsidP="003528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8AC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</w:tbl>
    <w:p w14:paraId="6FB81CC9" w14:textId="77777777" w:rsidR="003528AC" w:rsidRPr="003528AC" w:rsidRDefault="003528AC" w:rsidP="008A2F8C">
      <w:pPr>
        <w:rPr>
          <w:rFonts w:asciiTheme="minorHAnsi" w:hAnsiTheme="minorHAnsi"/>
          <w:sz w:val="22"/>
          <w:szCs w:val="22"/>
        </w:rPr>
      </w:pPr>
    </w:p>
    <w:p w14:paraId="1350B77E" w14:textId="77777777" w:rsidR="003528AC" w:rsidRPr="003528AC" w:rsidRDefault="003528AC" w:rsidP="008A2F8C">
      <w:pPr>
        <w:rPr>
          <w:rFonts w:asciiTheme="minorHAnsi" w:hAnsiTheme="minorHAnsi"/>
          <w:sz w:val="22"/>
          <w:szCs w:val="22"/>
        </w:rPr>
      </w:pPr>
    </w:p>
    <w:p w14:paraId="1A9C12B9" w14:textId="77777777" w:rsidR="003528AC" w:rsidRDefault="003528AC" w:rsidP="008A2F8C">
      <w:pPr>
        <w:rPr>
          <w:rFonts w:asciiTheme="minorHAnsi" w:hAnsiTheme="minorHAnsi"/>
        </w:rPr>
      </w:pPr>
    </w:p>
    <w:p w14:paraId="3103AC11" w14:textId="2D884300" w:rsidR="00C155F1" w:rsidRDefault="00C155F1" w:rsidP="008A2F8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 </w:t>
      </w:r>
      <w:proofErr w:type="spellStart"/>
      <w:r>
        <w:rPr>
          <w:rFonts w:asciiTheme="minorHAnsi" w:hAnsiTheme="minorHAnsi"/>
        </w:rPr>
        <w:t>Popovači</w:t>
      </w:r>
      <w:proofErr w:type="spellEnd"/>
      <w:r>
        <w:rPr>
          <w:rFonts w:asciiTheme="minorHAnsi" w:hAnsiTheme="minorHAnsi"/>
        </w:rPr>
        <w:t>, 31. siječanj 2020.godine</w:t>
      </w:r>
    </w:p>
    <w:p w14:paraId="332998CE" w14:textId="77777777" w:rsidR="00C155F1" w:rsidRDefault="00C155F1" w:rsidP="008A2F8C">
      <w:pPr>
        <w:rPr>
          <w:rFonts w:asciiTheme="minorHAnsi" w:hAnsiTheme="minorHAnsi"/>
        </w:rPr>
      </w:pPr>
    </w:p>
    <w:p w14:paraId="708714A7" w14:textId="77777777" w:rsidR="003528AC" w:rsidRDefault="003528AC" w:rsidP="008A2F8C">
      <w:pPr>
        <w:rPr>
          <w:rFonts w:asciiTheme="minorHAnsi" w:hAnsiTheme="minorHAnsi"/>
        </w:rPr>
      </w:pPr>
    </w:p>
    <w:p w14:paraId="7A141955" w14:textId="33BFE010" w:rsidR="002923EA" w:rsidRDefault="002923EA" w:rsidP="002923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Rukovoditelj Službe za ek. –fin. poslova: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</w:t>
      </w:r>
      <w:r>
        <w:rPr>
          <w:rFonts w:asciiTheme="minorHAnsi" w:hAnsiTheme="minorHAnsi"/>
        </w:rPr>
        <w:tab/>
        <w:t xml:space="preserve">                             Ravnateljica:</w:t>
      </w:r>
    </w:p>
    <w:p w14:paraId="701CBEF9" w14:textId="6303880C" w:rsidR="002923EA" w:rsidRPr="009D6AEF" w:rsidRDefault="002923EA" w:rsidP="002923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Dijana Dasović, dipl. oec.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   Prim. Marina Kovač, dr. med.</w:t>
      </w:r>
    </w:p>
    <w:p w14:paraId="2173FF41" w14:textId="77777777" w:rsidR="002923EA" w:rsidRDefault="002923EA" w:rsidP="008A2F8C">
      <w:pPr>
        <w:rPr>
          <w:rFonts w:asciiTheme="minorHAnsi" w:hAnsiTheme="minorHAnsi"/>
        </w:rPr>
      </w:pPr>
    </w:p>
    <w:p w14:paraId="33FCD5E1" w14:textId="77777777" w:rsidR="002923EA" w:rsidRDefault="002923EA" w:rsidP="008A2F8C">
      <w:pPr>
        <w:rPr>
          <w:rFonts w:asciiTheme="minorHAnsi" w:hAnsiTheme="minorHAnsi"/>
        </w:rPr>
      </w:pPr>
    </w:p>
    <w:p w14:paraId="05A5F308" w14:textId="77777777" w:rsidR="002923EA" w:rsidRDefault="002923EA" w:rsidP="008A2F8C">
      <w:pPr>
        <w:rPr>
          <w:rFonts w:asciiTheme="minorHAnsi" w:hAnsiTheme="minorHAnsi"/>
        </w:rPr>
      </w:pPr>
    </w:p>
    <w:p w14:paraId="4A6928A9" w14:textId="77777777" w:rsidR="002923EA" w:rsidRDefault="002923EA" w:rsidP="008A2F8C">
      <w:pPr>
        <w:rPr>
          <w:rFonts w:asciiTheme="minorHAnsi" w:hAnsiTheme="minorHAnsi"/>
        </w:rPr>
      </w:pPr>
    </w:p>
    <w:p w14:paraId="3F49C26C" w14:textId="77777777" w:rsidR="002923EA" w:rsidRDefault="002923EA" w:rsidP="008A2F8C">
      <w:pPr>
        <w:rPr>
          <w:rFonts w:asciiTheme="minorHAnsi" w:hAnsiTheme="minorHAnsi"/>
        </w:rPr>
      </w:pPr>
    </w:p>
    <w:p w14:paraId="0BB479B6" w14:textId="77777777" w:rsidR="002923EA" w:rsidRDefault="002923EA" w:rsidP="008A2F8C">
      <w:pPr>
        <w:rPr>
          <w:rFonts w:asciiTheme="minorHAnsi" w:hAnsiTheme="minorHAnsi"/>
        </w:rPr>
      </w:pPr>
    </w:p>
    <w:p w14:paraId="25ADF1BE" w14:textId="77777777" w:rsidR="002923EA" w:rsidRDefault="002923EA" w:rsidP="008A2F8C">
      <w:pPr>
        <w:rPr>
          <w:rFonts w:asciiTheme="minorHAnsi" w:hAnsiTheme="minorHAnsi"/>
        </w:rPr>
      </w:pPr>
    </w:p>
    <w:p w14:paraId="678079A0" w14:textId="77777777" w:rsidR="002923EA" w:rsidRDefault="002923EA" w:rsidP="008A2F8C">
      <w:pPr>
        <w:rPr>
          <w:rFonts w:asciiTheme="minorHAnsi" w:hAnsiTheme="minorHAnsi"/>
        </w:rPr>
      </w:pPr>
    </w:p>
    <w:p w14:paraId="46C6CD16" w14:textId="77777777" w:rsidR="002923EA" w:rsidRDefault="002923EA" w:rsidP="008A2F8C">
      <w:pPr>
        <w:rPr>
          <w:rFonts w:asciiTheme="minorHAnsi" w:hAnsiTheme="minorHAnsi"/>
        </w:rPr>
      </w:pPr>
    </w:p>
    <w:p w14:paraId="53B6964A" w14:textId="77777777" w:rsidR="002923EA" w:rsidRDefault="002923EA" w:rsidP="008A2F8C">
      <w:pPr>
        <w:rPr>
          <w:rFonts w:asciiTheme="minorHAnsi" w:hAnsiTheme="minorHAnsi"/>
        </w:rPr>
      </w:pPr>
    </w:p>
    <w:p w14:paraId="1EB071CC" w14:textId="77777777" w:rsidR="002923EA" w:rsidRDefault="002923EA" w:rsidP="008A2F8C">
      <w:pPr>
        <w:rPr>
          <w:rFonts w:asciiTheme="minorHAnsi" w:hAnsiTheme="minorHAnsi"/>
        </w:rPr>
      </w:pPr>
    </w:p>
    <w:p w14:paraId="720A5B93" w14:textId="77777777" w:rsidR="002923EA" w:rsidRDefault="002923EA" w:rsidP="008A2F8C">
      <w:pPr>
        <w:rPr>
          <w:rFonts w:asciiTheme="minorHAnsi" w:hAnsiTheme="minorHAnsi"/>
        </w:rPr>
      </w:pPr>
    </w:p>
    <w:p w14:paraId="126806A6" w14:textId="77777777" w:rsidR="002923EA" w:rsidRDefault="002923EA" w:rsidP="008A2F8C">
      <w:pPr>
        <w:rPr>
          <w:rFonts w:asciiTheme="minorHAnsi" w:hAnsiTheme="minorHAnsi"/>
        </w:rPr>
      </w:pPr>
    </w:p>
    <w:p w14:paraId="3BD3C5AD" w14:textId="77777777" w:rsidR="002923EA" w:rsidRDefault="002923EA" w:rsidP="008A2F8C">
      <w:pPr>
        <w:rPr>
          <w:rFonts w:asciiTheme="minorHAnsi" w:hAnsiTheme="minorHAnsi"/>
        </w:rPr>
      </w:pPr>
    </w:p>
    <w:p w14:paraId="4653609A" w14:textId="77777777" w:rsidR="002923EA" w:rsidRDefault="002923EA" w:rsidP="008A2F8C">
      <w:pPr>
        <w:rPr>
          <w:rFonts w:asciiTheme="minorHAnsi" w:hAnsiTheme="minorHAnsi"/>
        </w:rPr>
      </w:pPr>
    </w:p>
    <w:p w14:paraId="60D8BA2A" w14:textId="77777777" w:rsidR="002923EA" w:rsidRDefault="002923EA" w:rsidP="008A2F8C">
      <w:pPr>
        <w:rPr>
          <w:rFonts w:asciiTheme="minorHAnsi" w:hAnsiTheme="minorHAnsi"/>
        </w:rPr>
        <w:sectPr w:rsidR="002923EA" w:rsidSect="00A062A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AC4667D" w14:textId="32EB1956" w:rsidR="008A2F8C" w:rsidRDefault="008A2F8C" w:rsidP="008A2F8C">
      <w:pPr>
        <w:rPr>
          <w:rFonts w:asciiTheme="minorHAnsi" w:hAnsiTheme="minorHAnsi"/>
        </w:rPr>
      </w:pPr>
    </w:p>
    <w:p w14:paraId="26E5BDF4" w14:textId="77777777" w:rsidR="008A2F8C" w:rsidRDefault="008A2F8C" w:rsidP="008A2F8C">
      <w:pPr>
        <w:rPr>
          <w:rFonts w:asciiTheme="minorHAnsi" w:hAnsiTheme="minorHAnsi"/>
        </w:rPr>
      </w:pPr>
    </w:p>
    <w:p w14:paraId="35EEA177" w14:textId="77777777" w:rsidR="008A2F8C" w:rsidRPr="006B5263" w:rsidRDefault="008A2F8C" w:rsidP="005B0FF2">
      <w:pPr>
        <w:ind w:left="1410"/>
        <w:rPr>
          <w:rFonts w:asciiTheme="minorHAnsi" w:hAnsiTheme="minorHAnsi"/>
          <w:bCs/>
        </w:rPr>
      </w:pPr>
    </w:p>
    <w:sectPr w:rsidR="008A2F8C" w:rsidRPr="006B5263" w:rsidSect="00A062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EC98B" w14:textId="77777777" w:rsidR="000737B6" w:rsidRDefault="000737B6" w:rsidP="009D6AEF">
      <w:r>
        <w:separator/>
      </w:r>
    </w:p>
  </w:endnote>
  <w:endnote w:type="continuationSeparator" w:id="0">
    <w:p w14:paraId="019310D0" w14:textId="77777777" w:rsidR="000737B6" w:rsidRDefault="000737B6" w:rsidP="009D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491E5" w14:textId="77777777" w:rsidR="003528AC" w:rsidRDefault="003528A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164819"/>
      <w:docPartObj>
        <w:docPartGallery w:val="Page Numbers (Bottom of Page)"/>
        <w:docPartUnique/>
      </w:docPartObj>
    </w:sdtPr>
    <w:sdtEndPr/>
    <w:sdtContent>
      <w:p w14:paraId="6701C6E8" w14:textId="7AF07E8E" w:rsidR="003528AC" w:rsidRDefault="003528A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708">
          <w:rPr>
            <w:noProof/>
          </w:rPr>
          <w:t>11</w:t>
        </w:r>
        <w:r>
          <w:fldChar w:fldCharType="end"/>
        </w:r>
      </w:p>
    </w:sdtContent>
  </w:sdt>
  <w:p w14:paraId="7353E748" w14:textId="77777777" w:rsidR="003528AC" w:rsidRDefault="003528A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54E19" w14:textId="77777777" w:rsidR="003528AC" w:rsidRDefault="003528A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00D61" w14:textId="77777777" w:rsidR="000737B6" w:rsidRDefault="000737B6" w:rsidP="009D6AEF">
      <w:r>
        <w:separator/>
      </w:r>
    </w:p>
  </w:footnote>
  <w:footnote w:type="continuationSeparator" w:id="0">
    <w:p w14:paraId="75B813A4" w14:textId="77777777" w:rsidR="000737B6" w:rsidRDefault="000737B6" w:rsidP="009D6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D0C51" w14:textId="77777777" w:rsidR="003528AC" w:rsidRDefault="003528A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CB3AF" w14:textId="77777777" w:rsidR="003528AC" w:rsidRDefault="003528A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371E5" w14:textId="77777777" w:rsidR="003528AC" w:rsidRDefault="003528A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B6F"/>
    <w:multiLevelType w:val="hybridMultilevel"/>
    <w:tmpl w:val="6A7EE5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55EF"/>
    <w:multiLevelType w:val="hybridMultilevel"/>
    <w:tmpl w:val="6BECAFA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63694D"/>
    <w:multiLevelType w:val="hybridMultilevel"/>
    <w:tmpl w:val="9580CC60"/>
    <w:lvl w:ilvl="0" w:tplc="0DB09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09645F"/>
    <w:multiLevelType w:val="hybridMultilevel"/>
    <w:tmpl w:val="23BEAE2C"/>
    <w:lvl w:ilvl="0" w:tplc="8C96D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70043"/>
    <w:multiLevelType w:val="hybridMultilevel"/>
    <w:tmpl w:val="827C35F8"/>
    <w:lvl w:ilvl="0" w:tplc="9B78F8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11FC6"/>
    <w:multiLevelType w:val="hybridMultilevel"/>
    <w:tmpl w:val="5860C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66FDC"/>
    <w:multiLevelType w:val="hybridMultilevel"/>
    <w:tmpl w:val="47DAFB6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35B85"/>
    <w:multiLevelType w:val="hybridMultilevel"/>
    <w:tmpl w:val="5F1ACC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3D9E"/>
    <w:multiLevelType w:val="hybridMultilevel"/>
    <w:tmpl w:val="F0E4FF2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6464DF"/>
    <w:multiLevelType w:val="hybridMultilevel"/>
    <w:tmpl w:val="0220E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23B3"/>
    <w:multiLevelType w:val="hybridMultilevel"/>
    <w:tmpl w:val="FBDE2FAA"/>
    <w:lvl w:ilvl="0" w:tplc="A5FC4C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837E11"/>
    <w:multiLevelType w:val="hybridMultilevel"/>
    <w:tmpl w:val="4B2A0AB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35B2D"/>
    <w:multiLevelType w:val="hybridMultilevel"/>
    <w:tmpl w:val="FE468A8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15E79"/>
    <w:multiLevelType w:val="hybridMultilevel"/>
    <w:tmpl w:val="BA944848"/>
    <w:lvl w:ilvl="0" w:tplc="11101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877E2"/>
    <w:multiLevelType w:val="hybridMultilevel"/>
    <w:tmpl w:val="F24A81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360A4"/>
    <w:multiLevelType w:val="hybridMultilevel"/>
    <w:tmpl w:val="8DD47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45ABC"/>
    <w:multiLevelType w:val="hybridMultilevel"/>
    <w:tmpl w:val="5DE0E2E2"/>
    <w:lvl w:ilvl="0" w:tplc="42E00A5A">
      <w:start w:val="2"/>
      <w:numFmt w:val="bullet"/>
      <w:lvlText w:val="-"/>
      <w:lvlJc w:val="left"/>
      <w:pPr>
        <w:ind w:left="141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>
    <w:nsid w:val="7C1C1AC8"/>
    <w:multiLevelType w:val="hybridMultilevel"/>
    <w:tmpl w:val="42C4C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A1DD3"/>
    <w:multiLevelType w:val="hybridMultilevel"/>
    <w:tmpl w:val="4724A1A0"/>
    <w:lvl w:ilvl="0" w:tplc="9C169212">
      <w:numFmt w:val="bullet"/>
      <w:lvlText w:val="-"/>
      <w:lvlJc w:val="left"/>
      <w:pPr>
        <w:ind w:left="1185" w:hanging="360"/>
      </w:pPr>
      <w:rPr>
        <w:rFonts w:ascii="Sylfaen" w:eastAsia="Times New Roman" w:hAnsi="Sylfaen" w:cs="Times New Roman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>
    <w:nsid w:val="7D4504C8"/>
    <w:multiLevelType w:val="hybridMultilevel"/>
    <w:tmpl w:val="49800E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8285B"/>
    <w:multiLevelType w:val="hybridMultilevel"/>
    <w:tmpl w:val="50C0509E"/>
    <w:lvl w:ilvl="0" w:tplc="678CC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</w:num>
  <w:num w:numId="5">
    <w:abstractNumId w:val="7"/>
  </w:num>
  <w:num w:numId="6">
    <w:abstractNumId w:val="5"/>
  </w:num>
  <w:num w:numId="7">
    <w:abstractNumId w:val="13"/>
  </w:num>
  <w:num w:numId="8">
    <w:abstractNumId w:val="4"/>
  </w:num>
  <w:num w:numId="9">
    <w:abstractNumId w:val="15"/>
  </w:num>
  <w:num w:numId="10">
    <w:abstractNumId w:val="19"/>
  </w:num>
  <w:num w:numId="11">
    <w:abstractNumId w:val="0"/>
  </w:num>
  <w:num w:numId="12">
    <w:abstractNumId w:val="9"/>
  </w:num>
  <w:num w:numId="13">
    <w:abstractNumId w:val="17"/>
  </w:num>
  <w:num w:numId="14">
    <w:abstractNumId w:val="12"/>
  </w:num>
  <w:num w:numId="15">
    <w:abstractNumId w:val="10"/>
  </w:num>
  <w:num w:numId="16">
    <w:abstractNumId w:val="14"/>
  </w:num>
  <w:num w:numId="17">
    <w:abstractNumId w:val="6"/>
  </w:num>
  <w:num w:numId="18">
    <w:abstractNumId w:val="1"/>
  </w:num>
  <w:num w:numId="19">
    <w:abstractNumId w:val="11"/>
  </w:num>
  <w:num w:numId="20">
    <w:abstractNumId w:val="18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5D"/>
    <w:rsid w:val="00002997"/>
    <w:rsid w:val="00003612"/>
    <w:rsid w:val="00017E35"/>
    <w:rsid w:val="00031593"/>
    <w:rsid w:val="00042CCA"/>
    <w:rsid w:val="00050E6D"/>
    <w:rsid w:val="0007188C"/>
    <w:rsid w:val="000737B6"/>
    <w:rsid w:val="00074CAC"/>
    <w:rsid w:val="00077556"/>
    <w:rsid w:val="000846A7"/>
    <w:rsid w:val="00087416"/>
    <w:rsid w:val="00092C61"/>
    <w:rsid w:val="000A1766"/>
    <w:rsid w:val="000A5386"/>
    <w:rsid w:val="000B4F75"/>
    <w:rsid w:val="000C5024"/>
    <w:rsid w:val="000C79C1"/>
    <w:rsid w:val="000E4219"/>
    <w:rsid w:val="000F2CD9"/>
    <w:rsid w:val="00107B7B"/>
    <w:rsid w:val="0013559E"/>
    <w:rsid w:val="0014440E"/>
    <w:rsid w:val="0015505E"/>
    <w:rsid w:val="001564F3"/>
    <w:rsid w:val="0015678E"/>
    <w:rsid w:val="00161097"/>
    <w:rsid w:val="001B4DBB"/>
    <w:rsid w:val="001B56E6"/>
    <w:rsid w:val="001D1102"/>
    <w:rsid w:val="001D22F0"/>
    <w:rsid w:val="001E296D"/>
    <w:rsid w:val="001E635D"/>
    <w:rsid w:val="001E7160"/>
    <w:rsid w:val="00200103"/>
    <w:rsid w:val="00201D74"/>
    <w:rsid w:val="00222901"/>
    <w:rsid w:val="00234D89"/>
    <w:rsid w:val="00241806"/>
    <w:rsid w:val="0024498C"/>
    <w:rsid w:val="002500B7"/>
    <w:rsid w:val="00277A9C"/>
    <w:rsid w:val="00281BF2"/>
    <w:rsid w:val="0028596B"/>
    <w:rsid w:val="00287E33"/>
    <w:rsid w:val="002914C6"/>
    <w:rsid w:val="002923EA"/>
    <w:rsid w:val="002B0B7C"/>
    <w:rsid w:val="002B10D0"/>
    <w:rsid w:val="002C33FE"/>
    <w:rsid w:val="002C4AE0"/>
    <w:rsid w:val="002F675D"/>
    <w:rsid w:val="003010B8"/>
    <w:rsid w:val="00316432"/>
    <w:rsid w:val="003172B0"/>
    <w:rsid w:val="00324981"/>
    <w:rsid w:val="00325158"/>
    <w:rsid w:val="00345A7E"/>
    <w:rsid w:val="003528AC"/>
    <w:rsid w:val="003D7A76"/>
    <w:rsid w:val="00423509"/>
    <w:rsid w:val="00447748"/>
    <w:rsid w:val="0046101D"/>
    <w:rsid w:val="00483D17"/>
    <w:rsid w:val="00483F88"/>
    <w:rsid w:val="004868B9"/>
    <w:rsid w:val="004A0044"/>
    <w:rsid w:val="004A3742"/>
    <w:rsid w:val="004C4363"/>
    <w:rsid w:val="004D3C98"/>
    <w:rsid w:val="004E178E"/>
    <w:rsid w:val="004E2C64"/>
    <w:rsid w:val="005020B3"/>
    <w:rsid w:val="00516638"/>
    <w:rsid w:val="00531330"/>
    <w:rsid w:val="0053738F"/>
    <w:rsid w:val="005532F0"/>
    <w:rsid w:val="005541A0"/>
    <w:rsid w:val="00554488"/>
    <w:rsid w:val="005741CA"/>
    <w:rsid w:val="005828B0"/>
    <w:rsid w:val="00592FD8"/>
    <w:rsid w:val="00594C92"/>
    <w:rsid w:val="005B0FF2"/>
    <w:rsid w:val="005C1C08"/>
    <w:rsid w:val="005C2382"/>
    <w:rsid w:val="005D7BEC"/>
    <w:rsid w:val="005F575D"/>
    <w:rsid w:val="0061582D"/>
    <w:rsid w:val="006228D1"/>
    <w:rsid w:val="006305B6"/>
    <w:rsid w:val="006456FD"/>
    <w:rsid w:val="00676912"/>
    <w:rsid w:val="0068203C"/>
    <w:rsid w:val="0068771C"/>
    <w:rsid w:val="00697D8C"/>
    <w:rsid w:val="006B5263"/>
    <w:rsid w:val="006B584E"/>
    <w:rsid w:val="006C6C73"/>
    <w:rsid w:val="006E6048"/>
    <w:rsid w:val="006E6951"/>
    <w:rsid w:val="006E7231"/>
    <w:rsid w:val="00707EB7"/>
    <w:rsid w:val="00716A56"/>
    <w:rsid w:val="00720A39"/>
    <w:rsid w:val="0073508F"/>
    <w:rsid w:val="007661B2"/>
    <w:rsid w:val="00772AC4"/>
    <w:rsid w:val="007903F9"/>
    <w:rsid w:val="0079474A"/>
    <w:rsid w:val="007A04AF"/>
    <w:rsid w:val="007A07AE"/>
    <w:rsid w:val="007A3EF9"/>
    <w:rsid w:val="007A7D92"/>
    <w:rsid w:val="007D1539"/>
    <w:rsid w:val="00803DE2"/>
    <w:rsid w:val="00807109"/>
    <w:rsid w:val="008072B6"/>
    <w:rsid w:val="00826B8A"/>
    <w:rsid w:val="008277AF"/>
    <w:rsid w:val="0083191A"/>
    <w:rsid w:val="00851495"/>
    <w:rsid w:val="00854FB6"/>
    <w:rsid w:val="00866513"/>
    <w:rsid w:val="008679D6"/>
    <w:rsid w:val="00877C0E"/>
    <w:rsid w:val="008940B4"/>
    <w:rsid w:val="008A2F8C"/>
    <w:rsid w:val="008A554D"/>
    <w:rsid w:val="008B3708"/>
    <w:rsid w:val="008B5D0F"/>
    <w:rsid w:val="008C0B16"/>
    <w:rsid w:val="008D2EC4"/>
    <w:rsid w:val="008D4175"/>
    <w:rsid w:val="008E7772"/>
    <w:rsid w:val="0090425C"/>
    <w:rsid w:val="00916058"/>
    <w:rsid w:val="0094253D"/>
    <w:rsid w:val="009813C9"/>
    <w:rsid w:val="009952A7"/>
    <w:rsid w:val="0099569C"/>
    <w:rsid w:val="009A09FB"/>
    <w:rsid w:val="009D6AEF"/>
    <w:rsid w:val="009E59D8"/>
    <w:rsid w:val="009F1BE7"/>
    <w:rsid w:val="009F1EC0"/>
    <w:rsid w:val="00A062A9"/>
    <w:rsid w:val="00A366E2"/>
    <w:rsid w:val="00A40C66"/>
    <w:rsid w:val="00A62292"/>
    <w:rsid w:val="00A70C2D"/>
    <w:rsid w:val="00A70ED0"/>
    <w:rsid w:val="00A70F7F"/>
    <w:rsid w:val="00A7380F"/>
    <w:rsid w:val="00AB036A"/>
    <w:rsid w:val="00AB4F1B"/>
    <w:rsid w:val="00AE3B3A"/>
    <w:rsid w:val="00AF573F"/>
    <w:rsid w:val="00B05746"/>
    <w:rsid w:val="00B05F00"/>
    <w:rsid w:val="00B1418C"/>
    <w:rsid w:val="00B22582"/>
    <w:rsid w:val="00B23C7B"/>
    <w:rsid w:val="00B320CE"/>
    <w:rsid w:val="00B3644F"/>
    <w:rsid w:val="00B53DAE"/>
    <w:rsid w:val="00B6614B"/>
    <w:rsid w:val="00B82941"/>
    <w:rsid w:val="00B94023"/>
    <w:rsid w:val="00B966BF"/>
    <w:rsid w:val="00BA2AAD"/>
    <w:rsid w:val="00BA369D"/>
    <w:rsid w:val="00BA4E93"/>
    <w:rsid w:val="00BB780A"/>
    <w:rsid w:val="00BB7C70"/>
    <w:rsid w:val="00BD02D8"/>
    <w:rsid w:val="00BD5A82"/>
    <w:rsid w:val="00BD64F3"/>
    <w:rsid w:val="00BE146C"/>
    <w:rsid w:val="00C155F1"/>
    <w:rsid w:val="00C22D99"/>
    <w:rsid w:val="00C5075D"/>
    <w:rsid w:val="00CC0F39"/>
    <w:rsid w:val="00CC1037"/>
    <w:rsid w:val="00CD0A52"/>
    <w:rsid w:val="00CE2FC5"/>
    <w:rsid w:val="00CF5594"/>
    <w:rsid w:val="00D16B02"/>
    <w:rsid w:val="00D209CB"/>
    <w:rsid w:val="00D46A3B"/>
    <w:rsid w:val="00D86B3F"/>
    <w:rsid w:val="00D92FC5"/>
    <w:rsid w:val="00DA7A51"/>
    <w:rsid w:val="00DC3AB6"/>
    <w:rsid w:val="00DD3C77"/>
    <w:rsid w:val="00DD43D3"/>
    <w:rsid w:val="00DF76B1"/>
    <w:rsid w:val="00E0128B"/>
    <w:rsid w:val="00E07DA8"/>
    <w:rsid w:val="00E27EED"/>
    <w:rsid w:val="00E3094F"/>
    <w:rsid w:val="00E474F3"/>
    <w:rsid w:val="00E55D61"/>
    <w:rsid w:val="00E5778D"/>
    <w:rsid w:val="00EA1BF4"/>
    <w:rsid w:val="00EA3639"/>
    <w:rsid w:val="00EB1BCE"/>
    <w:rsid w:val="00EB204B"/>
    <w:rsid w:val="00EB43A0"/>
    <w:rsid w:val="00F00F87"/>
    <w:rsid w:val="00F37B0D"/>
    <w:rsid w:val="00F452D2"/>
    <w:rsid w:val="00F62E8E"/>
    <w:rsid w:val="00F71E43"/>
    <w:rsid w:val="00F85017"/>
    <w:rsid w:val="00F90FA6"/>
    <w:rsid w:val="00FA1728"/>
    <w:rsid w:val="00FB2838"/>
    <w:rsid w:val="00FD588D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A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6048"/>
    <w:pPr>
      <w:ind w:left="708"/>
    </w:pPr>
  </w:style>
  <w:style w:type="character" w:styleId="Hiperveza">
    <w:name w:val="Hyperlink"/>
    <w:basedOn w:val="Zadanifontodlomka"/>
    <w:uiPriority w:val="99"/>
    <w:unhideWhenUsed/>
    <w:rsid w:val="00E55D6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20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04B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D6A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D6A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D6A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D6AEF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13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6048"/>
    <w:pPr>
      <w:ind w:left="708"/>
    </w:pPr>
  </w:style>
  <w:style w:type="character" w:styleId="Hiperveza">
    <w:name w:val="Hyperlink"/>
    <w:basedOn w:val="Zadanifontodlomka"/>
    <w:uiPriority w:val="99"/>
    <w:unhideWhenUsed/>
    <w:rsid w:val="00E55D6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20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04B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D6A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D6A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D6A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D6AEF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13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2750</Words>
  <Characters>15679</Characters>
  <Application>Microsoft Office Word</Application>
  <DocSecurity>0</DocSecurity>
  <Lines>130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Augustin</dc:creator>
  <cp:keywords/>
  <dc:description/>
  <cp:lastModifiedBy>Dijana Dasovic</cp:lastModifiedBy>
  <cp:revision>195</cp:revision>
  <cp:lastPrinted>2020-01-31T09:04:00Z</cp:lastPrinted>
  <dcterms:created xsi:type="dcterms:W3CDTF">2018-05-21T07:40:00Z</dcterms:created>
  <dcterms:modified xsi:type="dcterms:W3CDTF">2020-01-31T09:07:00Z</dcterms:modified>
</cp:coreProperties>
</file>